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3BEA722" w14:textId="125996A8" w:rsidR="006314E8" w:rsidRPr="00FC5794" w:rsidRDefault="00C767F1" w:rsidP="00C766E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0"/>
          <w:szCs w:val="22"/>
        </w:rPr>
      </w:pPr>
      <w:r w:rsidRPr="00FC5794">
        <w:rPr>
          <w:rFonts w:asciiTheme="minorHAnsi" w:hAnsiTheme="minorHAnsi"/>
          <w:sz w:val="20"/>
          <w:szCs w:val="22"/>
        </w:rPr>
        <w:t xml:space="preserve">Sample sizes are available in the figure legend. </w:t>
      </w:r>
      <w:r w:rsidR="00742FA0" w:rsidRPr="00FC5794">
        <w:rPr>
          <w:rFonts w:asciiTheme="minorHAnsi" w:hAnsiTheme="minorHAnsi"/>
          <w:sz w:val="20"/>
          <w:szCs w:val="22"/>
        </w:rPr>
        <w:t xml:space="preserve">For the </w:t>
      </w:r>
      <w:r w:rsidR="00742FA0" w:rsidRPr="009C4AB1">
        <w:rPr>
          <w:rFonts w:asciiTheme="minorHAnsi" w:hAnsiTheme="minorHAnsi"/>
          <w:i/>
          <w:sz w:val="20"/>
          <w:szCs w:val="22"/>
        </w:rPr>
        <w:t>in vivo</w:t>
      </w:r>
      <w:r w:rsidR="00742FA0" w:rsidRPr="00FC5794">
        <w:rPr>
          <w:rFonts w:asciiTheme="minorHAnsi" w:hAnsiTheme="minorHAnsi"/>
          <w:sz w:val="20"/>
          <w:szCs w:val="22"/>
        </w:rPr>
        <w:t xml:space="preserve"> studies, a power calculation was performed. Using IL-1β release as our primary </w:t>
      </w:r>
      <w:r w:rsidR="009C4AB1" w:rsidRPr="00FC5794">
        <w:rPr>
          <w:rFonts w:asciiTheme="minorHAnsi" w:hAnsiTheme="minorHAnsi"/>
          <w:sz w:val="20"/>
          <w:szCs w:val="22"/>
        </w:rPr>
        <w:t>measure,</w:t>
      </w:r>
      <w:r w:rsidR="00742FA0" w:rsidRPr="00FC5794">
        <w:rPr>
          <w:rFonts w:asciiTheme="minorHAnsi" w:hAnsiTheme="minorHAnsi"/>
          <w:sz w:val="20"/>
          <w:szCs w:val="22"/>
        </w:rPr>
        <w:t xml:space="preserve"> we have pilot data that LPS</w:t>
      </w:r>
      <w:r w:rsidR="00C766E5" w:rsidRPr="00FC5794">
        <w:rPr>
          <w:rFonts w:asciiTheme="minorHAnsi" w:hAnsiTheme="minorHAnsi"/>
          <w:sz w:val="20"/>
          <w:szCs w:val="22"/>
        </w:rPr>
        <w:t xml:space="preserve"> + ATP</w:t>
      </w:r>
      <w:r w:rsidR="00742FA0" w:rsidRPr="00FC5794">
        <w:rPr>
          <w:rFonts w:asciiTheme="minorHAnsi" w:hAnsiTheme="minorHAnsi"/>
          <w:sz w:val="20"/>
          <w:szCs w:val="22"/>
        </w:rPr>
        <w:t xml:space="preserve"> i.p. i</w:t>
      </w:r>
      <w:r w:rsidR="00C766E5" w:rsidRPr="00FC5794">
        <w:rPr>
          <w:rFonts w:asciiTheme="minorHAnsi" w:hAnsiTheme="minorHAnsi"/>
          <w:sz w:val="20"/>
          <w:szCs w:val="22"/>
        </w:rPr>
        <w:t>nduces mean IL-1β release of 201.1 pg/ug protein</w:t>
      </w:r>
      <w:r w:rsidR="00742FA0" w:rsidRPr="00FC5794">
        <w:rPr>
          <w:rFonts w:asciiTheme="minorHAnsi" w:hAnsiTheme="minorHAnsi"/>
          <w:sz w:val="20"/>
          <w:szCs w:val="22"/>
        </w:rPr>
        <w:t xml:space="preserve"> </w:t>
      </w:r>
      <w:r w:rsidR="00C766E5" w:rsidRPr="00FC5794">
        <w:rPr>
          <w:rFonts w:asciiTheme="minorHAnsi" w:hAnsiTheme="minorHAnsi"/>
          <w:sz w:val="20"/>
          <w:szCs w:val="22"/>
        </w:rPr>
        <w:t>with a standard deviation of 110.4</w:t>
      </w:r>
      <w:r w:rsidR="00742FA0" w:rsidRPr="00FC5794">
        <w:rPr>
          <w:rFonts w:asciiTheme="minorHAnsi" w:hAnsiTheme="minorHAnsi"/>
          <w:sz w:val="20"/>
          <w:szCs w:val="22"/>
        </w:rPr>
        <w:t>. From this a Holm-Šídák corrected post-hoc power analy</w:t>
      </w:r>
      <w:r w:rsidR="00C766E5" w:rsidRPr="00FC5794">
        <w:rPr>
          <w:rFonts w:asciiTheme="minorHAnsi" w:hAnsiTheme="minorHAnsi"/>
          <w:sz w:val="20"/>
          <w:szCs w:val="22"/>
        </w:rPr>
        <w:t>ses with α=0.05 and β=0.2</w:t>
      </w:r>
      <w:r w:rsidR="00742FA0" w:rsidRPr="00FC5794">
        <w:rPr>
          <w:rFonts w:asciiTheme="minorHAnsi" w:hAnsiTheme="minorHAnsi"/>
          <w:sz w:val="20"/>
          <w:szCs w:val="22"/>
        </w:rPr>
        <w:t xml:space="preserve"> was pe</w:t>
      </w:r>
      <w:r w:rsidR="00C766E5" w:rsidRPr="00FC5794">
        <w:rPr>
          <w:rFonts w:asciiTheme="minorHAnsi" w:hAnsiTheme="minorHAnsi"/>
          <w:sz w:val="20"/>
          <w:szCs w:val="22"/>
        </w:rPr>
        <w:t>rformed. This indicated that n=5</w:t>
      </w:r>
      <w:r w:rsidR="00742FA0" w:rsidRPr="00FC5794">
        <w:rPr>
          <w:rFonts w:asciiTheme="minorHAnsi" w:hAnsiTheme="minorHAnsi"/>
          <w:sz w:val="20"/>
          <w:szCs w:val="22"/>
        </w:rPr>
        <w:t xml:space="preserve"> per group provides enough power to </w:t>
      </w:r>
      <w:r w:rsidR="00C766E5" w:rsidRPr="00FC5794">
        <w:rPr>
          <w:rFonts w:asciiTheme="minorHAnsi" w:hAnsiTheme="minorHAnsi"/>
          <w:sz w:val="20"/>
          <w:szCs w:val="22"/>
        </w:rPr>
        <w:t>detect an IL-1β inhibition of 70</w:t>
      </w:r>
      <w:r w:rsidR="00742FA0" w:rsidRPr="00FC5794">
        <w:rPr>
          <w:rFonts w:asciiTheme="minorHAnsi" w:hAnsiTheme="minorHAnsi"/>
          <w:sz w:val="20"/>
          <w:szCs w:val="22"/>
        </w:rPr>
        <w:t xml:space="preserve">%. This is a reasonable and biologically relevant effect size given the large reductions of IL-1β release we have observed in this model </w:t>
      </w:r>
      <w:r w:rsidR="00C766E5" w:rsidRPr="00FC5794">
        <w:rPr>
          <w:rFonts w:asciiTheme="minorHAnsi" w:hAnsiTheme="minorHAnsi"/>
          <w:sz w:val="20"/>
          <w:szCs w:val="22"/>
        </w:rPr>
        <w:t>previously, which</w:t>
      </w:r>
      <w:r w:rsidR="00742FA0" w:rsidRPr="00FC5794">
        <w:rPr>
          <w:rFonts w:asciiTheme="minorHAnsi" w:hAnsiTheme="minorHAnsi"/>
          <w:sz w:val="20"/>
          <w:szCs w:val="22"/>
        </w:rPr>
        <w:t xml:space="preserve"> is reliable and routinely used.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EB373F4" w:rsidR="00B330BD" w:rsidRPr="006E4B63" w:rsidRDefault="00C767F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E4B63">
        <w:rPr>
          <w:rFonts w:asciiTheme="minorHAnsi" w:hAnsiTheme="minorHAnsi"/>
          <w:sz w:val="22"/>
          <w:szCs w:val="22"/>
        </w:rPr>
        <w:t>This information can be found in the figure legend</w:t>
      </w:r>
      <w:r w:rsidR="004976F5" w:rsidRPr="006E4B63">
        <w:rPr>
          <w:rFonts w:asciiTheme="minorHAnsi" w:hAnsiTheme="minorHAnsi"/>
          <w:sz w:val="22"/>
          <w:szCs w:val="22"/>
        </w:rPr>
        <w:t xml:space="preserve"> and in the methods section under the heading ‘Quantification and statistical analysis’</w:t>
      </w:r>
      <w:r w:rsidRPr="006E4B63">
        <w:rPr>
          <w:rFonts w:asciiTheme="minorHAnsi" w:hAnsiTheme="minorHAnsi"/>
          <w:sz w:val="22"/>
          <w:szCs w:val="22"/>
        </w:rPr>
        <w:t>.</w:t>
      </w:r>
      <w:r w:rsidR="004976F5" w:rsidRPr="006E4B63">
        <w:rPr>
          <w:rFonts w:asciiTheme="minorHAnsi" w:hAnsiTheme="minorHAnsi"/>
          <w:sz w:val="22"/>
          <w:szCs w:val="22"/>
        </w:rPr>
        <w:t xml:space="preserve"> Each datapoint indicates one biological replicate.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CA5CAA6" w:rsidR="0015519A" w:rsidRPr="00505C51" w:rsidRDefault="00C767F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available in the figure legends and </w:t>
      </w:r>
      <w:bookmarkStart w:id="0" w:name="OLE_LINK1"/>
      <w:r>
        <w:rPr>
          <w:rFonts w:asciiTheme="minorHAnsi" w:hAnsiTheme="minorHAnsi"/>
          <w:sz w:val="22"/>
          <w:szCs w:val="22"/>
        </w:rPr>
        <w:t>in the methods section under the heading ‘</w:t>
      </w:r>
      <w:r w:rsidRPr="00C767F1">
        <w:rPr>
          <w:rFonts w:asciiTheme="minorHAnsi" w:hAnsiTheme="minorHAnsi"/>
          <w:sz w:val="22"/>
          <w:szCs w:val="22"/>
        </w:rPr>
        <w:t>Quantification and statistical analysis</w:t>
      </w:r>
      <w:r>
        <w:rPr>
          <w:rFonts w:asciiTheme="minorHAnsi" w:hAnsiTheme="minorHAnsi"/>
          <w:sz w:val="22"/>
          <w:szCs w:val="22"/>
        </w:rPr>
        <w:t>’</w:t>
      </w:r>
      <w:bookmarkEnd w:id="0"/>
      <w:r w:rsidR="004976F5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A4DC665" w:rsidR="00BC3CCE" w:rsidRPr="00505C51" w:rsidRDefault="00C767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the </w:t>
      </w:r>
      <w:r w:rsidRPr="004F5BB4">
        <w:rPr>
          <w:rFonts w:asciiTheme="minorHAnsi" w:hAnsiTheme="minorHAnsi"/>
          <w:i/>
          <w:sz w:val="22"/>
          <w:szCs w:val="22"/>
        </w:rPr>
        <w:t xml:space="preserve">in-vivo </w:t>
      </w:r>
      <w:r>
        <w:rPr>
          <w:rFonts w:asciiTheme="minorHAnsi" w:hAnsiTheme="minorHAnsi"/>
          <w:sz w:val="22"/>
          <w:szCs w:val="22"/>
        </w:rPr>
        <w:t>experiments, randomised blinding</w:t>
      </w:r>
      <w:r w:rsidR="004F5BB4">
        <w:rPr>
          <w:rFonts w:asciiTheme="minorHAnsi" w:hAnsiTheme="minorHAnsi"/>
          <w:sz w:val="22"/>
          <w:szCs w:val="22"/>
        </w:rPr>
        <w:t xml:space="preserve"> for treatment and genotype</w:t>
      </w:r>
      <w:r>
        <w:rPr>
          <w:rFonts w:asciiTheme="minorHAnsi" w:hAnsiTheme="minorHAnsi"/>
          <w:sz w:val="22"/>
          <w:szCs w:val="22"/>
        </w:rPr>
        <w:t xml:space="preserve"> was performed using research randomizer (</w:t>
      </w:r>
      <w:hyperlink r:id="rId12" w:history="1">
        <w:r w:rsidRPr="00EB5053">
          <w:rPr>
            <w:rStyle w:val="Hyperlink"/>
            <w:rFonts w:asciiTheme="minorHAnsi" w:hAnsiTheme="minorHAnsi"/>
            <w:sz w:val="22"/>
            <w:szCs w:val="22"/>
          </w:rPr>
          <w:t>https://www.randomizer.org/</w:t>
        </w:r>
      </w:hyperlink>
      <w:r>
        <w:rPr>
          <w:rFonts w:asciiTheme="minorHAnsi" w:hAnsiTheme="minorHAnsi"/>
          <w:sz w:val="22"/>
          <w:szCs w:val="22"/>
        </w:rPr>
        <w:t>)</w:t>
      </w:r>
      <w:r w:rsidR="004F5BB4">
        <w:rPr>
          <w:rFonts w:asciiTheme="minorHAnsi" w:hAnsiTheme="minorHAnsi"/>
          <w:sz w:val="22"/>
          <w:szCs w:val="22"/>
        </w:rPr>
        <w:t>.</w:t>
      </w:r>
      <w:r w:rsidR="006E4B63">
        <w:rPr>
          <w:rFonts w:asciiTheme="minorHAnsi" w:hAnsiTheme="minorHAnsi"/>
          <w:sz w:val="22"/>
          <w:szCs w:val="22"/>
        </w:rPr>
        <w:t xml:space="preserve"> This information </w:t>
      </w:r>
      <w:r w:rsidR="009C4AB1">
        <w:rPr>
          <w:rFonts w:asciiTheme="minorHAnsi" w:hAnsiTheme="minorHAnsi"/>
          <w:sz w:val="22"/>
          <w:szCs w:val="22"/>
        </w:rPr>
        <w:t>is</w:t>
      </w:r>
      <w:r w:rsidR="006E4B63">
        <w:rPr>
          <w:rFonts w:asciiTheme="minorHAnsi" w:hAnsiTheme="minorHAnsi"/>
          <w:sz w:val="22"/>
          <w:szCs w:val="22"/>
        </w:rPr>
        <w:t xml:space="preserve"> in the methods section under the heading ‘</w:t>
      </w:r>
      <w:r w:rsidR="006E4B63" w:rsidRPr="006E4B63">
        <w:rPr>
          <w:rFonts w:asciiTheme="minorHAnsi" w:hAnsiTheme="minorHAnsi"/>
          <w:sz w:val="22"/>
          <w:szCs w:val="22"/>
        </w:rPr>
        <w:t>In vivo peritoneal inflammation model</w:t>
      </w:r>
      <w:r w:rsidR="006E4B63">
        <w:rPr>
          <w:rFonts w:asciiTheme="minorHAnsi" w:hAnsiTheme="minorHAnsi"/>
          <w:sz w:val="22"/>
          <w:szCs w:val="22"/>
        </w:rPr>
        <w:t>’.</w:t>
      </w:r>
      <w:r w:rsidR="004F5BB4">
        <w:rPr>
          <w:rFonts w:asciiTheme="minorHAnsi" w:hAnsiTheme="minorHAnsi"/>
          <w:sz w:val="22"/>
          <w:szCs w:val="22"/>
        </w:rPr>
        <w:t xml:space="preserve"> Masking was not u</w:t>
      </w:r>
      <w:bookmarkStart w:id="1" w:name="_GoBack"/>
      <w:bookmarkEnd w:id="1"/>
      <w:r w:rsidR="004F5BB4">
        <w:rPr>
          <w:rFonts w:asciiTheme="minorHAnsi" w:hAnsiTheme="minorHAnsi"/>
          <w:sz w:val="22"/>
          <w:szCs w:val="22"/>
        </w:rPr>
        <w:t xml:space="preserve">sed for in vitro </w:t>
      </w:r>
      <w:r w:rsidR="00483A03">
        <w:rPr>
          <w:rFonts w:asciiTheme="minorHAnsi" w:hAnsiTheme="minorHAnsi"/>
          <w:sz w:val="22"/>
          <w:szCs w:val="22"/>
        </w:rPr>
        <w:t>studies</w:t>
      </w:r>
      <w:r w:rsidR="004F5BB4">
        <w:rPr>
          <w:rFonts w:asciiTheme="minorHAnsi" w:hAnsiTheme="minorHAnsi"/>
          <w:sz w:val="22"/>
          <w:szCs w:val="22"/>
        </w:rPr>
        <w:t>.</w:t>
      </w:r>
      <w:r w:rsidR="006E4B63"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D72DD64" w:rsidR="00BC3CCE" w:rsidRPr="00505C51" w:rsidRDefault="002D259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are</w:t>
      </w:r>
      <w:r w:rsidR="006E4B63">
        <w:rPr>
          <w:rFonts w:asciiTheme="minorHAnsi" w:hAnsiTheme="minorHAnsi"/>
          <w:sz w:val="22"/>
          <w:szCs w:val="22"/>
        </w:rPr>
        <w:t xml:space="preserve"> p</w:t>
      </w:r>
      <w:r>
        <w:rPr>
          <w:rFonts w:asciiTheme="minorHAnsi" w:hAnsiTheme="minorHAnsi"/>
          <w:sz w:val="22"/>
          <w:szCs w:val="22"/>
        </w:rPr>
        <w:t>rovided for graphs summari</w:t>
      </w:r>
      <w:r w:rsidR="00F25C02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ed where individual data points are not already provided in the figure, i.e Figure 2A, 2C and 4C.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5E8AA" w14:textId="77777777" w:rsidR="00740593" w:rsidRDefault="00740593" w:rsidP="004215FE">
      <w:r>
        <w:separator/>
      </w:r>
    </w:p>
  </w:endnote>
  <w:endnote w:type="continuationSeparator" w:id="0">
    <w:p w14:paraId="7032EF1A" w14:textId="77777777" w:rsidR="00740593" w:rsidRDefault="0074059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6E02D46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C4AB1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C4C65" w14:textId="77777777" w:rsidR="00740593" w:rsidRDefault="00740593" w:rsidP="004215FE">
      <w:r>
        <w:separator/>
      </w:r>
    </w:p>
  </w:footnote>
  <w:footnote w:type="continuationSeparator" w:id="0">
    <w:p w14:paraId="166AF72B" w14:textId="77777777" w:rsidR="00740593" w:rsidRDefault="0074059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259E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3A03"/>
    <w:rsid w:val="004976F5"/>
    <w:rsid w:val="004A5C32"/>
    <w:rsid w:val="004B41D4"/>
    <w:rsid w:val="004D5E59"/>
    <w:rsid w:val="004D602A"/>
    <w:rsid w:val="004D73CF"/>
    <w:rsid w:val="004E4945"/>
    <w:rsid w:val="004F451D"/>
    <w:rsid w:val="004F5BB4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14E8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4B63"/>
    <w:rsid w:val="006E6B2A"/>
    <w:rsid w:val="00700103"/>
    <w:rsid w:val="007137E1"/>
    <w:rsid w:val="00740593"/>
    <w:rsid w:val="00742FA0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4AB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66E5"/>
    <w:rsid w:val="00C767F1"/>
    <w:rsid w:val="00C820B0"/>
    <w:rsid w:val="00CC6EF3"/>
    <w:rsid w:val="00CD6AEC"/>
    <w:rsid w:val="00CE6849"/>
    <w:rsid w:val="00CF4BBE"/>
    <w:rsid w:val="00CF6CB5"/>
    <w:rsid w:val="00D10224"/>
    <w:rsid w:val="00D2289A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5C02"/>
    <w:rsid w:val="00F27DEC"/>
    <w:rsid w:val="00F3344F"/>
    <w:rsid w:val="00F60CF4"/>
    <w:rsid w:val="00FC1F40"/>
    <w:rsid w:val="00FC5794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EC06B37-76A1-49E9-9B13-33FF5E4B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ndomizer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520B6D-6A4C-42F9-BB1F-18333EAA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Jack Green</cp:lastModifiedBy>
  <cp:revision>7</cp:revision>
  <dcterms:created xsi:type="dcterms:W3CDTF">2020-06-08T12:40:00Z</dcterms:created>
  <dcterms:modified xsi:type="dcterms:W3CDTF">2020-06-09T13:54:00Z</dcterms:modified>
</cp:coreProperties>
</file>