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541AE21C" w14:textId="77777777" w:rsidR="00DA4625" w:rsidRDefault="00DA4625"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study was conducted on two independent samples of individuals with either genetic (22q11.2 Deletion Syndrome) or clinical vulnerability for psychosis.</w:t>
      </w:r>
    </w:p>
    <w:p w14:paraId="283305D7" w14:textId="434F63AF" w:rsidR="00877644" w:rsidRDefault="00DA4625"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 The sample of individuals at clinical high risk of psychosis were recruited in the context of a double bling </w:t>
      </w:r>
      <w:proofErr w:type="gramStart"/>
      <w:r>
        <w:rPr>
          <w:rFonts w:asciiTheme="minorHAnsi" w:hAnsiTheme="minorHAnsi"/>
        </w:rPr>
        <w:t>placebo controlled</w:t>
      </w:r>
      <w:proofErr w:type="gramEnd"/>
      <w:r>
        <w:rPr>
          <w:rFonts w:asciiTheme="minorHAnsi" w:hAnsiTheme="minorHAnsi"/>
        </w:rPr>
        <w:t xml:space="preserve"> study designed to test the efficacy of Omega 3 Fatty Acids on rates of conversion to psychosis. In this perspective power analyses were conducted resulting in a sample of 320 individuals, sufficient to detect a clinically significant difference in transition rate of approximately 13%. However, in the present manuscript, we did not test for differences across placebo vs Omega 3 treated individuals, considering them as a homogenous sample. In this perspective we did not refer to power calculations as they would, in our opinion, be misleading as to the objective and scope of the manuscript. However, in the methods section describing samples we extensively refer to previous literature describing details of NEURAPRO sample recruitment. </w:t>
      </w:r>
    </w:p>
    <w:p w14:paraId="5FBF2731" w14:textId="628685E7" w:rsidR="00DA4625" w:rsidRPr="00125190" w:rsidRDefault="00DA4625"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22q11.2 Deletion Syndrome </w:t>
      </w:r>
      <w:r w:rsidR="00357150">
        <w:rPr>
          <w:rFonts w:asciiTheme="minorHAnsi" w:hAnsiTheme="minorHAnsi"/>
        </w:rPr>
        <w:t>i</w:t>
      </w:r>
      <w:r>
        <w:rPr>
          <w:rFonts w:asciiTheme="minorHAnsi" w:hAnsiTheme="minorHAnsi"/>
        </w:rPr>
        <w:t xml:space="preserve">ndividuals are collected as part of an ongoing longitudinal observational study. Once again, in the present study individuals with 22q11DS were considered as a single homogenous sample. In this perspective no formal power analysis was considered necessary or performed. We did however consider that a final sample size of 57 subjects, is sufficient to reliably estimate Pearson correlations between clinical variables.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lastRenderedPageBreak/>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54D89B76" w:rsidR="00B330BD" w:rsidRPr="00125190" w:rsidRDefault="00DA4625"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Given the observational nature of the study, data were derived from two baseline and longitudinal assessments, for each of the </w:t>
      </w:r>
      <w:r w:rsidR="00A35F61">
        <w:rPr>
          <w:rFonts w:asciiTheme="minorHAnsi" w:hAnsiTheme="minorHAnsi"/>
        </w:rPr>
        <w:t xml:space="preserve">included </w:t>
      </w:r>
      <w:r>
        <w:rPr>
          <w:rFonts w:asciiTheme="minorHAnsi" w:hAnsiTheme="minorHAnsi"/>
        </w:rPr>
        <w:t xml:space="preserve">subjects. No outliers were excluded. Details regarding sample selection are detailed in the corresponding methods section of the manuscript.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295DD220" w:rsidR="0015519A" w:rsidRPr="00505C51" w:rsidRDefault="00DA4625"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statistical analysis pipeline is described in the corresponding methods section of the manuscript. Moreover, a graphical overview of the analysis pipeline is provided in Figure 1 and in the corresponding figure legend.  Whenever pertinent individual Pearson R coefficients and corresponding exact P values are reported </w:t>
      </w:r>
      <w:r w:rsidR="00963D5B">
        <w:rPr>
          <w:rFonts w:asciiTheme="minorHAnsi" w:hAnsiTheme="minorHAnsi"/>
          <w:sz w:val="22"/>
          <w:szCs w:val="22"/>
        </w:rPr>
        <w:t xml:space="preserve">in the original manuscript. Moreover, as supplementary data we report raw Pearson coefficients for each correlation between clinical variables analyzed in symptom networks.  </w:t>
      </w:r>
      <w:r>
        <w:rPr>
          <w:rFonts w:asciiTheme="minorHAnsi" w:hAnsiTheme="minorHAnsi"/>
          <w:sz w:val="22"/>
          <w:szCs w:val="22"/>
        </w:rPr>
        <w:t xml:space="preserve">  </w:t>
      </w:r>
      <w:r w:rsidR="00963D5B">
        <w:rPr>
          <w:rFonts w:asciiTheme="minorHAnsi" w:hAnsiTheme="minorHAnsi"/>
          <w:sz w:val="22"/>
          <w:szCs w:val="22"/>
        </w:rPr>
        <w:t>Finally</w:t>
      </w:r>
      <w:r>
        <w:rPr>
          <w:rFonts w:asciiTheme="minorHAnsi" w:hAnsiTheme="minorHAnsi"/>
          <w:sz w:val="22"/>
          <w:szCs w:val="22"/>
        </w:rPr>
        <w:t>, the strength of each individual significant correlation is displayed as color-coding in figures 2, 5 and 6.</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439E6E47" w:rsidR="00BC3CCE" w:rsidRPr="00505C51" w:rsidRDefault="00DA4625"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In both 22q11DS sample and NEURAPRO sample individuals were not allocated to separate experimental groups, but were rather considered as homogenous samples.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56E75E86" w:rsidR="00BC3CCE" w:rsidRDefault="0035715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As requested, we have uploaded relevant numerical data files that are represented in Graphs and figures. </w:t>
      </w:r>
    </w:p>
    <w:p w14:paraId="7134FB55" w14:textId="77777777" w:rsidR="00357150" w:rsidRDefault="0035715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Specifically, for both 22q11DS and NEURAPRO samples, we have included data files with: </w:t>
      </w:r>
    </w:p>
    <w:p w14:paraId="7BE35C6C" w14:textId="357D0965" w:rsidR="00357150" w:rsidRDefault="00357150" w:rsidP="00357150">
      <w:pPr>
        <w:pStyle w:val="ListParagraph"/>
        <w:framePr w:w="7817" w:h="1088" w:hSpace="180" w:wrap="around" w:vAnchor="text" w:hAnchor="page" w:x="1904" w:y="1"/>
        <w:numPr>
          <w:ilvl w:val="0"/>
          <w:numId w:val="8"/>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357150">
        <w:rPr>
          <w:rFonts w:asciiTheme="minorHAnsi" w:hAnsiTheme="minorHAnsi"/>
          <w:sz w:val="22"/>
          <w:szCs w:val="22"/>
        </w:rPr>
        <w:t xml:space="preserve">Adjacency matrix with </w:t>
      </w:r>
      <w:r w:rsidR="00963D5B">
        <w:rPr>
          <w:rFonts w:asciiTheme="minorHAnsi" w:hAnsiTheme="minorHAnsi"/>
          <w:sz w:val="22"/>
          <w:szCs w:val="22"/>
        </w:rPr>
        <w:t>Pearson R</w:t>
      </w:r>
      <w:r w:rsidRPr="00357150">
        <w:rPr>
          <w:rFonts w:asciiTheme="minorHAnsi" w:hAnsiTheme="minorHAnsi"/>
          <w:sz w:val="22"/>
          <w:szCs w:val="22"/>
        </w:rPr>
        <w:t xml:space="preserve"> coefficients providing a numerical representation of the multi-layer symptom network.</w:t>
      </w:r>
    </w:p>
    <w:p w14:paraId="0F59559B" w14:textId="17ADF59F" w:rsidR="00357150" w:rsidRDefault="00357150" w:rsidP="00357150">
      <w:pPr>
        <w:pStyle w:val="ListParagraph"/>
        <w:framePr w:w="7817" w:h="1088" w:hSpace="180" w:wrap="around" w:vAnchor="text" w:hAnchor="page" w:x="1904" w:y="1"/>
        <w:numPr>
          <w:ilvl w:val="0"/>
          <w:numId w:val="8"/>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Loading of symptoms according to the two main network dimensions derived from network dimensionality reduction, employed for spatial embedding of symptoms.</w:t>
      </w:r>
    </w:p>
    <w:p w14:paraId="07B4A444" w14:textId="4FFF61A8" w:rsidR="00357150" w:rsidRPr="00357150" w:rsidRDefault="00357150" w:rsidP="00357150">
      <w:pPr>
        <w:pStyle w:val="ListParagraph"/>
        <w:framePr w:w="7817" w:h="1088" w:hSpace="180" w:wrap="around" w:vAnchor="text" w:hAnchor="page" w:x="1904" w:y="1"/>
        <w:numPr>
          <w:ilvl w:val="0"/>
          <w:numId w:val="8"/>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Adjacency matrix reporting number of longitudinal paths traversing each network edge and symptoms, required to identify longitudinal network hubs (Gateway symptoms at baseline and Funnel symptoms at longitudinal follow-up).</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5AC7D7" w14:textId="77777777" w:rsidR="008E5837" w:rsidRDefault="008E5837" w:rsidP="004215FE">
      <w:r>
        <w:separator/>
      </w:r>
    </w:p>
  </w:endnote>
  <w:endnote w:type="continuationSeparator" w:id="0">
    <w:p w14:paraId="0F394DBF" w14:textId="77777777" w:rsidR="008E5837" w:rsidRDefault="008E5837"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D7474B" w14:textId="77777777" w:rsidR="008E5837" w:rsidRDefault="008E5837" w:rsidP="004215FE">
      <w:r>
        <w:separator/>
      </w:r>
    </w:p>
  </w:footnote>
  <w:footnote w:type="continuationSeparator" w:id="0">
    <w:p w14:paraId="2D38BA75" w14:textId="77777777" w:rsidR="008E5837" w:rsidRDefault="008E5837"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DA6201"/>
    <w:multiLevelType w:val="hybridMultilevel"/>
    <w:tmpl w:val="DE5646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1"/>
  </w:num>
  <w:num w:numId="5">
    <w:abstractNumId w:val="5"/>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57150"/>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3D16"/>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8E5837"/>
    <w:rsid w:val="00912B0B"/>
    <w:rsid w:val="009205E9"/>
    <w:rsid w:val="0092438C"/>
    <w:rsid w:val="00941D04"/>
    <w:rsid w:val="00963CEF"/>
    <w:rsid w:val="00963D5B"/>
    <w:rsid w:val="00993065"/>
    <w:rsid w:val="009A0661"/>
    <w:rsid w:val="009D0D28"/>
    <w:rsid w:val="009E6ACE"/>
    <w:rsid w:val="009E7B13"/>
    <w:rsid w:val="00A11EC6"/>
    <w:rsid w:val="00A131BD"/>
    <w:rsid w:val="00A32E20"/>
    <w:rsid w:val="00A35F61"/>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13B36"/>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A4625"/>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2AA61F61-1688-084D-AA5A-2397C620B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545919573">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4</Pages>
  <Words>1145</Words>
  <Characters>6531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7661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Microsoft Office User</cp:lastModifiedBy>
  <cp:revision>32</cp:revision>
  <dcterms:created xsi:type="dcterms:W3CDTF">2017-06-13T14:43:00Z</dcterms:created>
  <dcterms:modified xsi:type="dcterms:W3CDTF">2020-06-22T10:59:00Z</dcterms:modified>
</cp:coreProperties>
</file>