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6BB19" w14:textId="43A4C7AA" w:rsidR="00E216CC" w:rsidRPr="00FD3D96" w:rsidRDefault="00E216CC" w:rsidP="00E216CC">
      <w:pPr>
        <w:pStyle w:val="Heading2"/>
        <w:spacing w:before="480"/>
        <w:rPr>
          <w:sz w:val="24"/>
          <w:szCs w:val="24"/>
        </w:rPr>
      </w:pPr>
      <w:r>
        <w:rPr>
          <w:sz w:val="24"/>
          <w:szCs w:val="24"/>
        </w:rPr>
        <w:t xml:space="preserve">Supplementary File </w:t>
      </w:r>
      <w:r w:rsidRPr="00FD3D96">
        <w:rPr>
          <w:sz w:val="24"/>
          <w:szCs w:val="24"/>
        </w:rPr>
        <w:t>2</w:t>
      </w:r>
      <w:r>
        <w:rPr>
          <w:sz w:val="24"/>
          <w:szCs w:val="24"/>
        </w:rPr>
        <w:t>.</w:t>
      </w:r>
      <w:r w:rsidRPr="00FD3D96">
        <w:rPr>
          <w:sz w:val="24"/>
          <w:szCs w:val="24"/>
        </w:rPr>
        <w:t xml:space="preserve">  </w:t>
      </w:r>
      <w:r w:rsidR="00A27379">
        <w:rPr>
          <w:sz w:val="24"/>
          <w:szCs w:val="24"/>
        </w:rPr>
        <w:t>P</w:t>
      </w:r>
      <w:r w:rsidRPr="00FD3D96">
        <w:rPr>
          <w:sz w:val="24"/>
          <w:szCs w:val="24"/>
        </w:rPr>
        <w:t>lasmids used in the study</w:t>
      </w:r>
    </w:p>
    <w:tbl>
      <w:tblPr>
        <w:tblStyle w:val="TableGrid"/>
        <w:tblW w:w="0" w:type="auto"/>
        <w:tblLook w:val="04A0" w:firstRow="1" w:lastRow="0" w:firstColumn="1" w:lastColumn="0" w:noHBand="0" w:noVBand="1"/>
      </w:tblPr>
      <w:tblGrid>
        <w:gridCol w:w="1269"/>
        <w:gridCol w:w="5247"/>
        <w:gridCol w:w="2834"/>
      </w:tblGrid>
      <w:tr w:rsidR="00E216CC" w14:paraId="688FB570" w14:textId="77777777" w:rsidTr="00CC1348">
        <w:tc>
          <w:tcPr>
            <w:tcW w:w="1269" w:type="dxa"/>
          </w:tcPr>
          <w:p w14:paraId="5C1488BE" w14:textId="77777777" w:rsidR="00E216CC" w:rsidRPr="004D7467" w:rsidRDefault="00E216CC" w:rsidP="00CC1348">
            <w:pPr>
              <w:spacing w:before="240" w:after="240" w:line="276" w:lineRule="auto"/>
              <w:jc w:val="center"/>
              <w:rPr>
                <w:rFonts w:cstheme="majorHAnsi"/>
                <w:b/>
                <w:bCs/>
              </w:rPr>
            </w:pPr>
            <w:r w:rsidRPr="004D7467">
              <w:rPr>
                <w:rFonts w:cstheme="majorHAnsi"/>
                <w:b/>
                <w:bCs/>
              </w:rPr>
              <w:t>Plasmid</w:t>
            </w:r>
          </w:p>
        </w:tc>
        <w:tc>
          <w:tcPr>
            <w:tcW w:w="5247" w:type="dxa"/>
          </w:tcPr>
          <w:p w14:paraId="1ACED8FC" w14:textId="77777777" w:rsidR="00E216CC" w:rsidRPr="004D7467" w:rsidRDefault="00E216CC" w:rsidP="00CC1348">
            <w:pPr>
              <w:spacing w:before="240" w:after="240" w:line="276" w:lineRule="auto"/>
              <w:jc w:val="center"/>
              <w:rPr>
                <w:rFonts w:cstheme="majorHAnsi"/>
                <w:b/>
                <w:bCs/>
              </w:rPr>
            </w:pPr>
            <w:r w:rsidRPr="004D7467">
              <w:rPr>
                <w:rFonts w:cstheme="majorHAnsi"/>
                <w:b/>
                <w:bCs/>
              </w:rPr>
              <w:t>Description</w:t>
            </w:r>
          </w:p>
        </w:tc>
        <w:tc>
          <w:tcPr>
            <w:tcW w:w="2834" w:type="dxa"/>
          </w:tcPr>
          <w:p w14:paraId="0C670DF9" w14:textId="77777777" w:rsidR="00E216CC" w:rsidRPr="004D7467" w:rsidRDefault="00E216CC" w:rsidP="00CC1348">
            <w:pPr>
              <w:spacing w:before="240" w:after="240" w:line="276" w:lineRule="auto"/>
              <w:jc w:val="center"/>
              <w:rPr>
                <w:rFonts w:cstheme="majorHAnsi"/>
                <w:b/>
                <w:bCs/>
              </w:rPr>
            </w:pPr>
            <w:r w:rsidRPr="004D7467">
              <w:rPr>
                <w:rFonts w:cstheme="majorHAnsi"/>
                <w:b/>
                <w:bCs/>
              </w:rPr>
              <w:t>Source</w:t>
            </w:r>
          </w:p>
        </w:tc>
      </w:tr>
      <w:tr w:rsidR="00E216CC" w14:paraId="394075CA" w14:textId="77777777" w:rsidTr="00CC1348">
        <w:tc>
          <w:tcPr>
            <w:tcW w:w="1269" w:type="dxa"/>
          </w:tcPr>
          <w:p w14:paraId="6C307B6D" w14:textId="77777777" w:rsidR="00E216CC" w:rsidRPr="004D7467" w:rsidRDefault="00E216CC" w:rsidP="00CC1348">
            <w:pPr>
              <w:spacing w:before="60" w:after="60" w:line="276" w:lineRule="auto"/>
              <w:rPr>
                <w:rFonts w:cstheme="majorHAnsi"/>
                <w:sz w:val="20"/>
                <w:szCs w:val="20"/>
              </w:rPr>
            </w:pPr>
            <w:proofErr w:type="spellStart"/>
            <w:r w:rsidRPr="004D7467">
              <w:rPr>
                <w:rFonts w:cstheme="majorHAnsi"/>
                <w:sz w:val="20"/>
                <w:szCs w:val="20"/>
              </w:rPr>
              <w:t>pEB36</w:t>
            </w:r>
            <w:proofErr w:type="spellEnd"/>
          </w:p>
        </w:tc>
        <w:tc>
          <w:tcPr>
            <w:tcW w:w="5247" w:type="dxa"/>
          </w:tcPr>
          <w:p w14:paraId="1AFBFA76" w14:textId="77777777" w:rsidR="00E216CC" w:rsidRPr="004D7467" w:rsidRDefault="00E216CC" w:rsidP="00CC1348">
            <w:pPr>
              <w:spacing w:before="60" w:after="60" w:line="276" w:lineRule="auto"/>
              <w:rPr>
                <w:rFonts w:cstheme="majorHAnsi"/>
                <w:sz w:val="20"/>
                <w:szCs w:val="20"/>
              </w:rPr>
            </w:pPr>
            <w:proofErr w:type="spellStart"/>
            <w:r w:rsidRPr="004D7467">
              <w:rPr>
                <w:rFonts w:cstheme="majorHAnsi"/>
                <w:i/>
                <w:iCs/>
                <w:sz w:val="20"/>
                <w:szCs w:val="20"/>
              </w:rPr>
              <w:t>URA3</w:t>
            </w:r>
            <w:proofErr w:type="spellEnd"/>
            <w:r w:rsidRPr="004D7467">
              <w:rPr>
                <w:rFonts w:cstheme="majorHAnsi"/>
                <w:i/>
                <w:iCs/>
                <w:sz w:val="20"/>
                <w:szCs w:val="20"/>
              </w:rPr>
              <w:t xml:space="preserve">, </w:t>
            </w:r>
            <w:proofErr w:type="spellStart"/>
            <w:r w:rsidRPr="004D7467">
              <w:rPr>
                <w:rFonts w:cstheme="majorHAnsi"/>
                <w:i/>
                <w:iCs/>
                <w:sz w:val="20"/>
                <w:szCs w:val="20"/>
              </w:rPr>
              <w:t>TLC1</w:t>
            </w:r>
            <w:proofErr w:type="spellEnd"/>
            <w:r w:rsidRPr="004D7467">
              <w:rPr>
                <w:rFonts w:cstheme="majorHAnsi"/>
                <w:i/>
                <w:iCs/>
                <w:sz w:val="20"/>
                <w:szCs w:val="20"/>
              </w:rPr>
              <w:t>-</w:t>
            </w:r>
            <w:r>
              <w:rPr>
                <w:rFonts w:cstheme="majorHAnsi"/>
                <w:i/>
                <w:iCs/>
                <w:sz w:val="20"/>
                <w:szCs w:val="20"/>
              </w:rPr>
              <w:t>[</w:t>
            </w:r>
            <w:proofErr w:type="spellStart"/>
            <w:r w:rsidRPr="004D7467">
              <w:rPr>
                <w:rFonts w:cstheme="majorHAnsi"/>
                <w:i/>
                <w:iCs/>
                <w:sz w:val="20"/>
                <w:szCs w:val="20"/>
              </w:rPr>
              <w:t>MS2</w:t>
            </w:r>
            <w:proofErr w:type="spellEnd"/>
            <w:r w:rsidRPr="004D7467">
              <w:rPr>
                <w:rFonts w:cstheme="majorHAnsi"/>
                <w:i/>
                <w:iCs/>
                <w:sz w:val="20"/>
                <w:szCs w:val="20"/>
              </w:rPr>
              <w:t>-IN</w:t>
            </w:r>
            <w:r>
              <w:rPr>
                <w:rFonts w:cstheme="majorHAnsi"/>
                <w:i/>
                <w:iCs/>
                <w:sz w:val="20"/>
                <w:szCs w:val="20"/>
              </w:rPr>
              <w:t>]</w:t>
            </w:r>
            <w:r w:rsidRPr="004D7467">
              <w:rPr>
                <w:rFonts w:cstheme="majorHAnsi"/>
                <w:i/>
                <w:iCs/>
                <w:sz w:val="20"/>
                <w:szCs w:val="20"/>
              </w:rPr>
              <w:t>-</w:t>
            </w:r>
            <w:proofErr w:type="spellStart"/>
            <w:r w:rsidRPr="004D7467">
              <w:rPr>
                <w:rFonts w:cstheme="majorHAnsi"/>
                <w:i/>
                <w:iCs/>
                <w:sz w:val="20"/>
                <w:szCs w:val="20"/>
              </w:rPr>
              <w:t>natMX4</w:t>
            </w:r>
            <w:proofErr w:type="spellEnd"/>
            <w:r w:rsidRPr="004D7467">
              <w:rPr>
                <w:rFonts w:cstheme="majorHAnsi"/>
                <w:i/>
                <w:iCs/>
                <w:sz w:val="20"/>
                <w:szCs w:val="20"/>
              </w:rPr>
              <w:t xml:space="preserve"> (</w:t>
            </w:r>
            <w:proofErr w:type="spellStart"/>
            <w:r w:rsidRPr="004D7467">
              <w:rPr>
                <w:rFonts w:cstheme="majorHAnsi"/>
                <w:i/>
                <w:iCs/>
                <w:sz w:val="20"/>
                <w:szCs w:val="20"/>
              </w:rPr>
              <w:t>pRS306</w:t>
            </w:r>
            <w:proofErr w:type="spellEnd"/>
            <w:r w:rsidRPr="004D7467">
              <w:rPr>
                <w:rFonts w:cstheme="majorHAnsi"/>
                <w:i/>
                <w:iCs/>
                <w:sz w:val="20"/>
                <w:szCs w:val="20"/>
              </w:rPr>
              <w:t>)</w:t>
            </w:r>
          </w:p>
        </w:tc>
        <w:tc>
          <w:tcPr>
            <w:tcW w:w="2834" w:type="dxa"/>
          </w:tcPr>
          <w:p w14:paraId="4FC45011" w14:textId="77777777" w:rsidR="00E216CC" w:rsidRPr="004D7467" w:rsidRDefault="00E216CC" w:rsidP="00CC1348">
            <w:pPr>
              <w:spacing w:before="60" w:after="60" w:line="276" w:lineRule="auto"/>
              <w:rPr>
                <w:rFonts w:cstheme="majorHAnsi"/>
                <w:sz w:val="20"/>
                <w:szCs w:val="20"/>
              </w:rPr>
            </w:pPr>
            <w:r w:rsidRPr="004D7467">
              <w:rPr>
                <w:rFonts w:cstheme="majorHAnsi"/>
                <w:sz w:val="20"/>
                <w:szCs w:val="20"/>
              </w:rPr>
              <w:t>This study</w:t>
            </w:r>
          </w:p>
        </w:tc>
      </w:tr>
      <w:tr w:rsidR="00E216CC" w14:paraId="5C137D99" w14:textId="77777777" w:rsidTr="00CC1348">
        <w:tc>
          <w:tcPr>
            <w:tcW w:w="1269" w:type="dxa"/>
          </w:tcPr>
          <w:p w14:paraId="78F3A983" w14:textId="77777777" w:rsidR="00E216CC" w:rsidRPr="004D7467" w:rsidRDefault="00E216CC" w:rsidP="00CC1348">
            <w:pPr>
              <w:spacing w:before="60" w:after="60" w:line="276" w:lineRule="auto"/>
              <w:rPr>
                <w:rFonts w:cstheme="majorHAnsi"/>
                <w:sz w:val="20"/>
                <w:szCs w:val="20"/>
              </w:rPr>
            </w:pPr>
            <w:proofErr w:type="spellStart"/>
            <w:r w:rsidRPr="004D7467">
              <w:rPr>
                <w:rFonts w:cstheme="majorHAnsi"/>
                <w:sz w:val="20"/>
                <w:szCs w:val="20"/>
              </w:rPr>
              <w:t>pYV132</w:t>
            </w:r>
            <w:proofErr w:type="spellEnd"/>
          </w:p>
        </w:tc>
        <w:tc>
          <w:tcPr>
            <w:tcW w:w="5247" w:type="dxa"/>
          </w:tcPr>
          <w:p w14:paraId="36BAEC58" w14:textId="77777777" w:rsidR="00E216CC" w:rsidRPr="004D7467" w:rsidRDefault="00E216CC" w:rsidP="00CC1348">
            <w:pPr>
              <w:spacing w:before="60" w:after="60" w:line="276" w:lineRule="auto"/>
              <w:rPr>
                <w:rFonts w:cstheme="majorHAnsi"/>
                <w:i/>
                <w:iCs/>
                <w:sz w:val="20"/>
                <w:szCs w:val="20"/>
              </w:rPr>
            </w:pPr>
            <w:proofErr w:type="spellStart"/>
            <w:r w:rsidRPr="004D7467">
              <w:rPr>
                <w:rFonts w:cstheme="majorHAnsi"/>
                <w:i/>
                <w:iCs/>
                <w:sz w:val="20"/>
                <w:szCs w:val="20"/>
              </w:rPr>
              <w:t>URA3</w:t>
            </w:r>
            <w:proofErr w:type="spellEnd"/>
            <w:r w:rsidRPr="004D7467">
              <w:rPr>
                <w:rFonts w:cstheme="majorHAnsi"/>
                <w:i/>
                <w:iCs/>
                <w:sz w:val="20"/>
                <w:szCs w:val="20"/>
              </w:rPr>
              <w:t xml:space="preserve">, </w:t>
            </w:r>
            <w:proofErr w:type="spellStart"/>
            <w:r w:rsidRPr="004D7467">
              <w:rPr>
                <w:rFonts w:cstheme="majorHAnsi"/>
                <w:i/>
                <w:iCs/>
                <w:sz w:val="20"/>
                <w:szCs w:val="20"/>
              </w:rPr>
              <w:t>TLC1</w:t>
            </w:r>
            <w:proofErr w:type="spellEnd"/>
            <w:r w:rsidRPr="004D7467">
              <w:rPr>
                <w:rFonts w:cstheme="majorHAnsi"/>
                <w:i/>
                <w:iCs/>
                <w:sz w:val="20"/>
                <w:szCs w:val="20"/>
              </w:rPr>
              <w:t>-</w:t>
            </w:r>
            <w:r>
              <w:rPr>
                <w:rFonts w:cstheme="majorHAnsi"/>
                <w:i/>
                <w:iCs/>
                <w:sz w:val="20"/>
                <w:szCs w:val="20"/>
              </w:rPr>
              <w:t>[</w:t>
            </w:r>
            <w:proofErr w:type="spellStart"/>
            <w:r w:rsidRPr="004D7467">
              <w:rPr>
                <w:rFonts w:cstheme="majorHAnsi"/>
                <w:i/>
                <w:iCs/>
                <w:sz w:val="20"/>
                <w:szCs w:val="20"/>
              </w:rPr>
              <w:t>MS2</w:t>
            </w:r>
            <w:proofErr w:type="spellEnd"/>
            <w:r w:rsidRPr="004D7467">
              <w:rPr>
                <w:rFonts w:cstheme="majorHAnsi"/>
                <w:i/>
                <w:iCs/>
                <w:sz w:val="20"/>
                <w:szCs w:val="20"/>
              </w:rPr>
              <w:t>-IN</w:t>
            </w:r>
            <w:r>
              <w:rPr>
                <w:rFonts w:cstheme="majorHAnsi"/>
                <w:i/>
                <w:iCs/>
                <w:sz w:val="20"/>
                <w:szCs w:val="20"/>
              </w:rPr>
              <w:t>]</w:t>
            </w:r>
            <w:r w:rsidRPr="004D7467">
              <w:rPr>
                <w:rFonts w:cstheme="majorHAnsi"/>
                <w:i/>
                <w:iCs/>
                <w:sz w:val="20"/>
                <w:szCs w:val="20"/>
              </w:rPr>
              <w:t>-</w:t>
            </w:r>
            <w:proofErr w:type="spellStart"/>
            <w:r w:rsidRPr="004D7467">
              <w:rPr>
                <w:rFonts w:cstheme="majorHAnsi"/>
                <w:i/>
                <w:iCs/>
                <w:sz w:val="20"/>
                <w:szCs w:val="20"/>
              </w:rPr>
              <w:t>natMX4-tADH1</w:t>
            </w:r>
            <w:proofErr w:type="spellEnd"/>
            <w:r w:rsidRPr="004D7467">
              <w:rPr>
                <w:rFonts w:cstheme="majorHAnsi"/>
                <w:i/>
                <w:iCs/>
                <w:sz w:val="20"/>
                <w:szCs w:val="20"/>
              </w:rPr>
              <w:t xml:space="preserve"> (</w:t>
            </w:r>
            <w:proofErr w:type="spellStart"/>
            <w:r w:rsidRPr="004D7467">
              <w:rPr>
                <w:rFonts w:cstheme="majorHAnsi"/>
                <w:i/>
                <w:iCs/>
                <w:sz w:val="20"/>
                <w:szCs w:val="20"/>
              </w:rPr>
              <w:t>pRS306</w:t>
            </w:r>
            <w:proofErr w:type="spellEnd"/>
            <w:r w:rsidRPr="004D7467">
              <w:rPr>
                <w:rFonts w:cstheme="majorHAnsi"/>
                <w:i/>
                <w:iCs/>
                <w:sz w:val="20"/>
                <w:szCs w:val="20"/>
              </w:rPr>
              <w:t>)</w:t>
            </w:r>
          </w:p>
        </w:tc>
        <w:tc>
          <w:tcPr>
            <w:tcW w:w="2834" w:type="dxa"/>
          </w:tcPr>
          <w:p w14:paraId="3C09B938" w14:textId="77777777" w:rsidR="00E216CC" w:rsidRPr="004D7467" w:rsidRDefault="00E216CC" w:rsidP="00CC1348">
            <w:pPr>
              <w:spacing w:before="60" w:after="60" w:line="276" w:lineRule="auto"/>
              <w:rPr>
                <w:rFonts w:cstheme="majorHAnsi"/>
                <w:sz w:val="20"/>
                <w:szCs w:val="20"/>
              </w:rPr>
            </w:pPr>
            <w:r w:rsidRPr="004D7467">
              <w:rPr>
                <w:rFonts w:cstheme="majorHAnsi"/>
                <w:sz w:val="20"/>
                <w:szCs w:val="20"/>
              </w:rPr>
              <w:t>This study</w:t>
            </w:r>
          </w:p>
        </w:tc>
      </w:tr>
      <w:tr w:rsidR="00E216CC" w14:paraId="1E42315D" w14:textId="77777777" w:rsidTr="00CC1348">
        <w:tc>
          <w:tcPr>
            <w:tcW w:w="1269" w:type="dxa"/>
          </w:tcPr>
          <w:p w14:paraId="72C631C4" w14:textId="77777777" w:rsidR="00E216CC" w:rsidRPr="004D7467" w:rsidRDefault="00E216CC" w:rsidP="00CC1348">
            <w:pPr>
              <w:spacing w:before="60" w:after="60" w:line="276" w:lineRule="auto"/>
              <w:rPr>
                <w:rFonts w:cstheme="majorHAnsi"/>
                <w:sz w:val="20"/>
                <w:szCs w:val="20"/>
              </w:rPr>
            </w:pPr>
            <w:proofErr w:type="spellStart"/>
            <w:r w:rsidRPr="004D7467">
              <w:rPr>
                <w:rFonts w:cstheme="majorHAnsi"/>
                <w:sz w:val="20"/>
                <w:szCs w:val="20"/>
              </w:rPr>
              <w:t>pYV1</w:t>
            </w:r>
            <w:r>
              <w:rPr>
                <w:rFonts w:cstheme="majorHAnsi"/>
                <w:sz w:val="20"/>
                <w:szCs w:val="20"/>
              </w:rPr>
              <w:t>4</w:t>
            </w:r>
            <w:r w:rsidRPr="004D7467">
              <w:rPr>
                <w:rFonts w:cstheme="majorHAnsi"/>
                <w:sz w:val="20"/>
                <w:szCs w:val="20"/>
              </w:rPr>
              <w:t>2</w:t>
            </w:r>
            <w:proofErr w:type="spellEnd"/>
          </w:p>
        </w:tc>
        <w:tc>
          <w:tcPr>
            <w:tcW w:w="5247" w:type="dxa"/>
          </w:tcPr>
          <w:p w14:paraId="38702E94" w14:textId="77777777" w:rsidR="00E216CC" w:rsidRPr="0010514D" w:rsidRDefault="00E216CC" w:rsidP="00CC1348">
            <w:pPr>
              <w:spacing w:before="60" w:after="60" w:line="276" w:lineRule="auto"/>
              <w:rPr>
                <w:rFonts w:cstheme="majorHAnsi"/>
                <w:i/>
                <w:iCs/>
                <w:sz w:val="20"/>
                <w:szCs w:val="20"/>
                <w:lang w:val="de-CH"/>
              </w:rPr>
            </w:pPr>
            <w:r w:rsidRPr="0010514D">
              <w:rPr>
                <w:rFonts w:cstheme="majorHAnsi"/>
                <w:i/>
                <w:iCs/>
                <w:sz w:val="20"/>
                <w:szCs w:val="20"/>
                <w:lang w:val="de-CH"/>
              </w:rPr>
              <w:t>URA3, TLC1-[Sm2T-MS2-IN]-natMX4-tADH1 (pRS306)</w:t>
            </w:r>
          </w:p>
        </w:tc>
        <w:tc>
          <w:tcPr>
            <w:tcW w:w="2834" w:type="dxa"/>
          </w:tcPr>
          <w:p w14:paraId="42B7BFB4" w14:textId="77777777" w:rsidR="00E216CC" w:rsidRPr="004D7467" w:rsidRDefault="00E216CC" w:rsidP="00CC1348">
            <w:pPr>
              <w:spacing w:before="60" w:after="60" w:line="276" w:lineRule="auto"/>
              <w:rPr>
                <w:rFonts w:cstheme="majorHAnsi"/>
                <w:sz w:val="20"/>
                <w:szCs w:val="20"/>
              </w:rPr>
            </w:pPr>
            <w:r w:rsidRPr="004D7467">
              <w:rPr>
                <w:rFonts w:cstheme="majorHAnsi"/>
                <w:sz w:val="20"/>
                <w:szCs w:val="20"/>
              </w:rPr>
              <w:t>This study</w:t>
            </w:r>
          </w:p>
        </w:tc>
      </w:tr>
      <w:tr w:rsidR="00E216CC" w14:paraId="363DA2E2" w14:textId="77777777" w:rsidTr="00CC1348">
        <w:tc>
          <w:tcPr>
            <w:tcW w:w="1269" w:type="dxa"/>
          </w:tcPr>
          <w:p w14:paraId="6C6C6F82" w14:textId="77777777" w:rsidR="00E216CC" w:rsidRPr="004D7467" w:rsidRDefault="00E216CC" w:rsidP="00CC1348">
            <w:pPr>
              <w:spacing w:before="60" w:after="60" w:line="276" w:lineRule="auto"/>
              <w:rPr>
                <w:rFonts w:cstheme="majorHAnsi"/>
                <w:sz w:val="20"/>
                <w:szCs w:val="20"/>
              </w:rPr>
            </w:pPr>
            <w:proofErr w:type="spellStart"/>
            <w:r w:rsidRPr="004D7467">
              <w:rPr>
                <w:rFonts w:cstheme="majorHAnsi"/>
                <w:sz w:val="20"/>
                <w:szCs w:val="20"/>
              </w:rPr>
              <w:t>pTW40</w:t>
            </w:r>
            <w:proofErr w:type="spellEnd"/>
          </w:p>
        </w:tc>
        <w:tc>
          <w:tcPr>
            <w:tcW w:w="5247" w:type="dxa"/>
          </w:tcPr>
          <w:p w14:paraId="16FECD4F" w14:textId="77777777" w:rsidR="00E216CC" w:rsidRPr="004D7467" w:rsidRDefault="00E216CC" w:rsidP="00CC1348">
            <w:pPr>
              <w:spacing w:before="60" w:after="60" w:line="276" w:lineRule="auto"/>
              <w:rPr>
                <w:rFonts w:cstheme="majorHAnsi"/>
                <w:i/>
                <w:iCs/>
                <w:sz w:val="20"/>
                <w:szCs w:val="20"/>
              </w:rPr>
            </w:pPr>
            <w:proofErr w:type="spellStart"/>
            <w:r w:rsidRPr="004D7467">
              <w:rPr>
                <w:rFonts w:cstheme="majorHAnsi"/>
                <w:i/>
                <w:iCs/>
                <w:sz w:val="20"/>
                <w:szCs w:val="20"/>
              </w:rPr>
              <w:t>HIS3</w:t>
            </w:r>
            <w:proofErr w:type="spellEnd"/>
            <w:r w:rsidRPr="004D7467">
              <w:rPr>
                <w:rFonts w:cstheme="majorHAnsi"/>
                <w:i/>
                <w:iCs/>
                <w:sz w:val="20"/>
                <w:szCs w:val="20"/>
              </w:rPr>
              <w:t xml:space="preserve">, </w:t>
            </w:r>
            <w:proofErr w:type="spellStart"/>
            <w:r w:rsidRPr="004D7467">
              <w:rPr>
                <w:rFonts w:cstheme="majorHAnsi"/>
                <w:i/>
                <w:iCs/>
                <w:sz w:val="20"/>
                <w:szCs w:val="20"/>
              </w:rPr>
              <w:t>pTDH3</w:t>
            </w:r>
            <w:proofErr w:type="spellEnd"/>
            <w:r w:rsidRPr="004D7467">
              <w:rPr>
                <w:rFonts w:cstheme="majorHAnsi"/>
                <w:i/>
                <w:iCs/>
                <w:sz w:val="20"/>
                <w:szCs w:val="20"/>
              </w:rPr>
              <w:t>-</w:t>
            </w:r>
            <w:proofErr w:type="spellStart"/>
            <w:r w:rsidRPr="004D7467">
              <w:rPr>
                <w:rFonts w:cstheme="majorHAnsi"/>
                <w:i/>
                <w:iCs/>
                <w:sz w:val="20"/>
                <w:szCs w:val="20"/>
              </w:rPr>
              <w:t>CRE</w:t>
            </w:r>
            <w:proofErr w:type="spellEnd"/>
            <w:r w:rsidRPr="004D7467">
              <w:rPr>
                <w:rFonts w:cstheme="majorHAnsi"/>
                <w:i/>
                <w:iCs/>
                <w:sz w:val="20"/>
                <w:szCs w:val="20"/>
              </w:rPr>
              <w:t>-EBD-</w:t>
            </w:r>
            <w:proofErr w:type="spellStart"/>
            <w:r w:rsidRPr="004D7467">
              <w:rPr>
                <w:rFonts w:cstheme="majorHAnsi"/>
                <w:i/>
                <w:iCs/>
                <w:sz w:val="20"/>
                <w:szCs w:val="20"/>
              </w:rPr>
              <w:t>tCYC1</w:t>
            </w:r>
            <w:proofErr w:type="spellEnd"/>
            <w:r w:rsidRPr="004D7467">
              <w:rPr>
                <w:rFonts w:cstheme="majorHAnsi"/>
                <w:i/>
                <w:iCs/>
                <w:sz w:val="20"/>
                <w:szCs w:val="20"/>
              </w:rPr>
              <w:t xml:space="preserve"> (</w:t>
            </w:r>
            <w:proofErr w:type="spellStart"/>
            <w:r w:rsidRPr="004D7467">
              <w:rPr>
                <w:rFonts w:cstheme="majorHAnsi"/>
                <w:i/>
                <w:iCs/>
                <w:sz w:val="20"/>
                <w:szCs w:val="20"/>
              </w:rPr>
              <w:t>pRS303</w:t>
            </w:r>
            <w:proofErr w:type="spellEnd"/>
            <w:r w:rsidRPr="004D7467">
              <w:rPr>
                <w:rFonts w:cstheme="majorHAnsi"/>
                <w:i/>
                <w:iCs/>
                <w:sz w:val="20"/>
                <w:szCs w:val="20"/>
              </w:rPr>
              <w:t>)</w:t>
            </w:r>
          </w:p>
        </w:tc>
        <w:tc>
          <w:tcPr>
            <w:tcW w:w="2834" w:type="dxa"/>
            <w:shd w:val="clear" w:color="auto" w:fill="auto"/>
          </w:tcPr>
          <w:p w14:paraId="48170593" w14:textId="132A009F" w:rsidR="00E216CC" w:rsidRPr="004D7467" w:rsidRDefault="00E216CC" w:rsidP="00CC1348">
            <w:pPr>
              <w:spacing w:before="60" w:after="60" w:line="276" w:lineRule="auto"/>
              <w:rPr>
                <w:rFonts w:cstheme="majorHAnsi"/>
                <w:sz w:val="20"/>
                <w:szCs w:val="20"/>
              </w:rPr>
            </w:pPr>
            <w:r w:rsidRPr="004D7467">
              <w:rPr>
                <w:rFonts w:cstheme="majorHAnsi"/>
                <w:sz w:val="20"/>
                <w:szCs w:val="20"/>
              </w:rPr>
              <w:fldChar w:fldCharType="begin" w:fldLock="1"/>
            </w:r>
            <w:r w:rsidR="00A27379">
              <w:rPr>
                <w:rFonts w:cstheme="majorHAnsi"/>
                <w:sz w:val="20"/>
                <w:szCs w:val="20"/>
              </w:rPr>
              <w:instrText>ADDIN CSL_CITATION {"citationItems":[{"id":"ITEM-1","itemData":{"DOI":"10.1073/pnas.0911164107","ISSN":"00278424","abstract":"The dynamic behavior of proteins is critical for cellular homeostasis. However, analyzing dynamics of proteins and protein complexes in vivo has been difficult. Here we describe recombination-induced tag exchange (RITE), a genetic method that induces a permanent epitope-tag switch in the coding sequence after a hormone-induced activation of Cre recombinase. The time-controlled tag switch provides a unique ability to detect and separate old and new proteins in time and space, which opens up opportunities to investigate the dynamic behavior of proteins. We validated the technology by determining exchange of endogenous histones in chromatin by biochemical methods and by visualizing and quantifying replacement of old by new proteasomes in single cells by microscopy. RITE is widely applicable and allows probing spatiotemporal changes in protein properties by multiple methods.","author":[{"dropping-particle":"","family":"Verzijlbergen","given":"Kitty F.","non-dropping-particle":"","parse-names":false,"suffix":""},{"dropping-particle":"","family":"Menendez-Benito","given":"Victoria","non-dropping-particle":"","parse-names":false,"suffix":""},{"dropping-particle":"","family":"Welsem","given":"Tibor","non-dropping-particle":"Van","parse-names":false,"suffix":""},{"dropping-particle":"","family":"Deventer","given":"Sjoerd J.","non-dropping-particle":"Van","parse-names":false,"suffix":""},{"dropping-particle":"","family":"Lindstrom","given":"Derek L.","non-dropping-particle":"","parse-names":false,"suffix":""},{"dropping-particle":"","family":"Ovaa","given":"Huib","non-dropping-particle":"","parse-names":false,"suffix":""},{"dropping-particle":"","family":"Neefjes","given":"Jacques","non-dropping-particle":"","parse-names":false,"suffix":""},{"dropping-particle":"","family":"Gottschling","given":"Daniel E.","non-dropping-particle":"","parse-names":false,"suffix":""},{"dropping-particle":"","family":"Leeuwen","given":"Fred","non-dropping-particle":"Van","parse-names":false,"suffix":""}],"container-title":"Proceedings of the National Academy of Sciences of the United States of America","id":"ITEM-1","issue":"1","issued":{"date-parts":[["2010"]]},"page":"64-68","title":"Recombination-induced tag exchange to track old and new proteins","type":"article-journal","volume":"107"},"uris":["http://www.mendeley.com/documents/?uuid=719a63fd-db2e-4342-85b0-568db79bf3e0"]}],"mendeley":{"formattedCitation":"(Verzijlbergen &lt;i&gt;et al.&lt;/i&gt;, 2010)","plainTextFormattedCitation":"(Verzijlbergen et al., 2010)","previouslyFormattedCitation":"(1)"},"properties":{"noteIndex":0},"schema":"https://github.com/citation-style-language/schema/raw/master/csl-citation.json"}</w:instrText>
            </w:r>
            <w:r w:rsidRPr="004D7467">
              <w:rPr>
                <w:rFonts w:cstheme="majorHAnsi"/>
                <w:sz w:val="20"/>
                <w:szCs w:val="20"/>
              </w:rPr>
              <w:fldChar w:fldCharType="separate"/>
            </w:r>
            <w:r w:rsidR="00A27379" w:rsidRPr="00A27379">
              <w:rPr>
                <w:rFonts w:cstheme="majorHAnsi"/>
                <w:noProof/>
                <w:sz w:val="20"/>
                <w:szCs w:val="20"/>
              </w:rPr>
              <w:t xml:space="preserve">(Verzijlbergen </w:t>
            </w:r>
            <w:r w:rsidR="00A27379" w:rsidRPr="00A27379">
              <w:rPr>
                <w:rFonts w:cstheme="majorHAnsi"/>
                <w:i/>
                <w:noProof/>
                <w:sz w:val="20"/>
                <w:szCs w:val="20"/>
              </w:rPr>
              <w:t>et al.</w:t>
            </w:r>
            <w:r w:rsidR="00A27379" w:rsidRPr="00A27379">
              <w:rPr>
                <w:rFonts w:cstheme="majorHAnsi"/>
                <w:noProof/>
                <w:sz w:val="20"/>
                <w:szCs w:val="20"/>
              </w:rPr>
              <w:t>, 2010)</w:t>
            </w:r>
            <w:r w:rsidRPr="004D7467">
              <w:rPr>
                <w:rFonts w:cstheme="majorHAnsi"/>
                <w:sz w:val="20"/>
                <w:szCs w:val="20"/>
              </w:rPr>
              <w:fldChar w:fldCharType="end"/>
            </w:r>
          </w:p>
        </w:tc>
      </w:tr>
      <w:tr w:rsidR="00E216CC" w14:paraId="235D4EAC" w14:textId="77777777" w:rsidTr="00CC1348">
        <w:tc>
          <w:tcPr>
            <w:tcW w:w="1269" w:type="dxa"/>
          </w:tcPr>
          <w:p w14:paraId="759E80B4" w14:textId="77777777" w:rsidR="00E216CC" w:rsidRPr="004D7467" w:rsidRDefault="00E216CC" w:rsidP="00CC1348">
            <w:pPr>
              <w:spacing w:before="60" w:after="60" w:line="276" w:lineRule="auto"/>
              <w:rPr>
                <w:sz w:val="20"/>
                <w:szCs w:val="20"/>
              </w:rPr>
            </w:pPr>
            <w:proofErr w:type="spellStart"/>
            <w:r w:rsidRPr="004D7467">
              <w:rPr>
                <w:rFonts w:cstheme="majorHAnsi"/>
                <w:sz w:val="20"/>
                <w:szCs w:val="20"/>
              </w:rPr>
              <w:t>pYV144</w:t>
            </w:r>
            <w:proofErr w:type="spellEnd"/>
          </w:p>
        </w:tc>
        <w:tc>
          <w:tcPr>
            <w:tcW w:w="5247" w:type="dxa"/>
          </w:tcPr>
          <w:p w14:paraId="5CBC79F7" w14:textId="77777777" w:rsidR="00E216CC" w:rsidRPr="005A4ACE" w:rsidRDefault="00E216CC" w:rsidP="00CC1348">
            <w:pPr>
              <w:spacing w:before="60" w:after="60" w:line="276" w:lineRule="auto"/>
              <w:rPr>
                <w:i/>
                <w:iCs/>
                <w:sz w:val="20"/>
                <w:szCs w:val="20"/>
                <w:lang w:val="fr-CA"/>
              </w:rPr>
            </w:pPr>
            <w:proofErr w:type="spellStart"/>
            <w:r w:rsidRPr="005A4ACE">
              <w:rPr>
                <w:rFonts w:cstheme="majorHAnsi"/>
                <w:i/>
                <w:iCs/>
                <w:sz w:val="20"/>
                <w:szCs w:val="20"/>
                <w:lang w:val="fr-CA"/>
              </w:rPr>
              <w:t>URA3</w:t>
            </w:r>
            <w:proofErr w:type="spellEnd"/>
            <w:r w:rsidRPr="005A4ACE">
              <w:rPr>
                <w:rFonts w:cstheme="majorHAnsi"/>
                <w:i/>
                <w:iCs/>
                <w:sz w:val="20"/>
                <w:szCs w:val="20"/>
                <w:lang w:val="fr-CA"/>
              </w:rPr>
              <w:t xml:space="preserve">, </w:t>
            </w:r>
            <w:proofErr w:type="spellStart"/>
            <w:r w:rsidRPr="005A4ACE">
              <w:rPr>
                <w:rFonts w:cstheme="majorHAnsi"/>
                <w:i/>
                <w:iCs/>
                <w:sz w:val="20"/>
                <w:szCs w:val="20"/>
                <w:lang w:val="fr-CA"/>
              </w:rPr>
              <w:t>pTDH3</w:t>
            </w:r>
            <w:proofErr w:type="spellEnd"/>
            <w:r w:rsidRPr="005A4ACE">
              <w:rPr>
                <w:rFonts w:cstheme="majorHAnsi"/>
                <w:i/>
                <w:iCs/>
                <w:sz w:val="20"/>
                <w:szCs w:val="20"/>
                <w:lang w:val="fr-CA"/>
              </w:rPr>
              <w:t>-CRE-</w:t>
            </w:r>
            <w:proofErr w:type="spellStart"/>
            <w:r w:rsidRPr="005A4ACE">
              <w:rPr>
                <w:rFonts w:cstheme="majorHAnsi"/>
                <w:i/>
                <w:iCs/>
                <w:sz w:val="20"/>
                <w:szCs w:val="20"/>
                <w:lang w:val="fr-CA"/>
              </w:rPr>
              <w:t>EBD</w:t>
            </w:r>
            <w:proofErr w:type="spellEnd"/>
            <w:r w:rsidRPr="005A4ACE">
              <w:rPr>
                <w:rFonts w:cstheme="majorHAnsi"/>
                <w:i/>
                <w:iCs/>
                <w:sz w:val="20"/>
                <w:szCs w:val="20"/>
                <w:lang w:val="fr-CA"/>
              </w:rPr>
              <w:t>-</w:t>
            </w:r>
            <w:proofErr w:type="spellStart"/>
            <w:r w:rsidRPr="005A4ACE">
              <w:rPr>
                <w:rFonts w:cstheme="majorHAnsi"/>
                <w:i/>
                <w:iCs/>
                <w:sz w:val="20"/>
                <w:szCs w:val="20"/>
                <w:lang w:val="fr-CA"/>
              </w:rPr>
              <w:t>tCYC1</w:t>
            </w:r>
            <w:proofErr w:type="spellEnd"/>
            <w:r w:rsidRPr="005A4ACE">
              <w:rPr>
                <w:rFonts w:cstheme="majorHAnsi"/>
                <w:i/>
                <w:iCs/>
                <w:sz w:val="20"/>
                <w:szCs w:val="20"/>
                <w:lang w:val="fr-CA"/>
              </w:rPr>
              <w:t xml:space="preserve"> (</w:t>
            </w:r>
            <w:proofErr w:type="spellStart"/>
            <w:r w:rsidRPr="005A4ACE">
              <w:rPr>
                <w:rFonts w:cstheme="majorHAnsi"/>
                <w:i/>
                <w:iCs/>
                <w:sz w:val="20"/>
                <w:szCs w:val="20"/>
                <w:lang w:val="fr-CA"/>
              </w:rPr>
              <w:t>pRS306</w:t>
            </w:r>
            <w:proofErr w:type="spellEnd"/>
            <w:r w:rsidRPr="005A4ACE">
              <w:rPr>
                <w:rFonts w:cstheme="majorHAnsi"/>
                <w:i/>
                <w:iCs/>
                <w:sz w:val="20"/>
                <w:szCs w:val="20"/>
                <w:lang w:val="fr-CA"/>
              </w:rPr>
              <w:t>)</w:t>
            </w:r>
          </w:p>
        </w:tc>
        <w:tc>
          <w:tcPr>
            <w:tcW w:w="2834" w:type="dxa"/>
          </w:tcPr>
          <w:p w14:paraId="459FED3E" w14:textId="77777777" w:rsidR="00E216CC" w:rsidRPr="004D7467" w:rsidRDefault="00E216CC" w:rsidP="00CC1348">
            <w:pPr>
              <w:spacing w:before="60" w:after="60" w:line="276" w:lineRule="auto"/>
              <w:rPr>
                <w:sz w:val="20"/>
                <w:szCs w:val="20"/>
              </w:rPr>
            </w:pPr>
            <w:r w:rsidRPr="004D7467">
              <w:rPr>
                <w:rFonts w:cstheme="majorHAnsi"/>
                <w:sz w:val="20"/>
                <w:szCs w:val="20"/>
              </w:rPr>
              <w:t>This study</w:t>
            </w:r>
          </w:p>
        </w:tc>
      </w:tr>
    </w:tbl>
    <w:p w14:paraId="2AD1558E" w14:textId="77777777" w:rsidR="00A27379" w:rsidRDefault="00A27379"/>
    <w:p w14:paraId="155B08F9" w14:textId="3BCBF90F" w:rsidR="00A27379" w:rsidRPr="00A27379" w:rsidRDefault="00A27379" w:rsidP="00A27379">
      <w:pPr>
        <w:pStyle w:val="Heading2"/>
        <w:rPr>
          <w:sz w:val="28"/>
          <w:szCs w:val="28"/>
        </w:rPr>
      </w:pPr>
      <w:r w:rsidRPr="00A27379">
        <w:rPr>
          <w:sz w:val="24"/>
          <w:szCs w:val="24"/>
        </w:rPr>
        <w:t>References:</w:t>
      </w:r>
    </w:p>
    <w:p w14:paraId="3724A8D4" w14:textId="4D6D73D1" w:rsidR="00A27379" w:rsidRPr="00A27379" w:rsidRDefault="00A27379" w:rsidP="00A27379">
      <w:pPr>
        <w:widowControl w:val="0"/>
        <w:autoSpaceDE w:val="0"/>
        <w:autoSpaceDN w:val="0"/>
        <w:adjustRightInd w:val="0"/>
        <w:rPr>
          <w:rFonts w:cs="Arial"/>
          <w:noProof/>
        </w:rPr>
      </w:pPr>
      <w:r>
        <w:fldChar w:fldCharType="begin" w:fldLock="1"/>
      </w:r>
      <w:r>
        <w:instrText xml:space="preserve">ADDIN Mendeley Bibliography CSL_BIBLIOGRAPHY </w:instrText>
      </w:r>
      <w:r>
        <w:fldChar w:fldCharType="separate"/>
      </w:r>
      <w:r w:rsidRPr="00A27379">
        <w:rPr>
          <w:rFonts w:cs="Arial"/>
          <w:noProof/>
          <w:szCs w:val="24"/>
        </w:rPr>
        <w:t xml:space="preserve">Verzijlbergen, K. F. </w:t>
      </w:r>
      <w:r w:rsidRPr="00A27379">
        <w:rPr>
          <w:rFonts w:cs="Arial"/>
          <w:i/>
          <w:iCs/>
          <w:noProof/>
          <w:szCs w:val="24"/>
        </w:rPr>
        <w:t>et al.</w:t>
      </w:r>
      <w:r w:rsidRPr="00A27379">
        <w:rPr>
          <w:rFonts w:cs="Arial"/>
          <w:noProof/>
          <w:szCs w:val="24"/>
        </w:rPr>
        <w:t xml:space="preserve"> (2010) ‘Recombination-induced tag exchange to track old and new proteins’, </w:t>
      </w:r>
      <w:r w:rsidRPr="00A27379">
        <w:rPr>
          <w:rFonts w:cs="Arial"/>
          <w:i/>
          <w:iCs/>
          <w:noProof/>
          <w:szCs w:val="24"/>
        </w:rPr>
        <w:t>Proceedings of the National Academy of Sciences of the United States of America</w:t>
      </w:r>
      <w:r w:rsidRPr="00A27379">
        <w:rPr>
          <w:rFonts w:cs="Arial"/>
          <w:noProof/>
          <w:szCs w:val="24"/>
        </w:rPr>
        <w:t>, 107(1), pp. 64–68. doi: 10.1073/pnas.0911164107.</w:t>
      </w:r>
    </w:p>
    <w:p w14:paraId="1B1E9170" w14:textId="1033CA50" w:rsidR="00A27379" w:rsidRPr="00A27379" w:rsidRDefault="00A27379" w:rsidP="00A27379">
      <w:r>
        <w:fldChar w:fldCharType="end"/>
      </w:r>
    </w:p>
    <w:p w14:paraId="06107AAE" w14:textId="77777777" w:rsidR="00A27379" w:rsidRDefault="00A27379"/>
    <w:sectPr w:rsidR="00A273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CC"/>
    <w:rsid w:val="00885845"/>
    <w:rsid w:val="00A27379"/>
    <w:rsid w:val="00E216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573B"/>
  <w15:chartTrackingRefBased/>
  <w15:docId w15:val="{4139426D-EC43-4487-A659-27D5D20C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6CC"/>
    <w:pPr>
      <w:spacing w:line="360" w:lineRule="auto"/>
      <w:jc w:val="both"/>
    </w:pPr>
    <w:rPr>
      <w:rFonts w:ascii="Arial" w:hAnsi="Arial"/>
    </w:rPr>
  </w:style>
  <w:style w:type="paragraph" w:styleId="Heading2">
    <w:name w:val="heading 2"/>
    <w:basedOn w:val="Normal"/>
    <w:next w:val="Normal"/>
    <w:link w:val="Heading2Char"/>
    <w:uiPriority w:val="9"/>
    <w:unhideWhenUsed/>
    <w:qFormat/>
    <w:rsid w:val="00E216CC"/>
    <w:pPr>
      <w:keepNext/>
      <w:keepLines/>
      <w:spacing w:before="160" w:after="120"/>
      <w:jc w:val="left"/>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16CC"/>
    <w:rPr>
      <w:rFonts w:ascii="Arial" w:eastAsiaTheme="majorEastAsia" w:hAnsi="Arial" w:cstheme="majorBidi"/>
      <w:b/>
      <w:sz w:val="26"/>
      <w:szCs w:val="26"/>
    </w:rPr>
  </w:style>
  <w:style w:type="table" w:styleId="TableGrid">
    <w:name w:val="Table Grid"/>
    <w:basedOn w:val="TableNormal"/>
    <w:uiPriority w:val="39"/>
    <w:rsid w:val="00E21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3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2FB48FD-26E8-4624-8B8D-E9EBC07C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2967</Characters>
  <Application>Microsoft Office Word</Application>
  <DocSecurity>0</DocSecurity>
  <Lines>24</Lines>
  <Paragraphs>6</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y.vasianovich@outlook.com</dc:creator>
  <cp:keywords/>
  <dc:description/>
  <cp:lastModifiedBy>y.vasianovich@outlook.com</cp:lastModifiedBy>
  <cp:revision>2</cp:revision>
  <dcterms:created xsi:type="dcterms:W3CDTF">2020-10-14T17:15:00Z</dcterms:created>
  <dcterms:modified xsi:type="dcterms:W3CDTF">2020-10-14T18:00:00Z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d861eef4-17cc-3ccb-8055-2dca8224ad4f</vt:lpwstr>
  </property>
  <property fmtid="{D5CDD505-2E9C-101B-9397-08002B2CF9AE}" pid="24" name="Mendeley Citation Style_1">
    <vt:lpwstr>http://www.zotero.org/styles/harvard1</vt:lpwstr>
  </property>
</Properties>
</file>