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624C2" w14:textId="0F823AA8" w:rsidR="009D4B4F" w:rsidRPr="00FD3D96" w:rsidRDefault="005B408E" w:rsidP="009D4B4F">
      <w:pPr>
        <w:pStyle w:val="Heading2"/>
        <w:spacing w:before="480"/>
        <w:rPr>
          <w:sz w:val="24"/>
          <w:szCs w:val="24"/>
        </w:rPr>
      </w:pPr>
      <w:r>
        <w:rPr>
          <w:sz w:val="24"/>
          <w:szCs w:val="24"/>
        </w:rPr>
        <w:t>Supplementary File 3</w:t>
      </w:r>
      <w:r w:rsidR="009D4B4F">
        <w:rPr>
          <w:sz w:val="24"/>
          <w:szCs w:val="24"/>
        </w:rPr>
        <w:t>.</w:t>
      </w:r>
      <w:r w:rsidR="009D4B4F" w:rsidRPr="00FD3D96">
        <w:rPr>
          <w:sz w:val="24"/>
          <w:szCs w:val="24"/>
        </w:rPr>
        <w:t xml:space="preserve">  Oligonucleotides used in the study</w:t>
      </w:r>
    </w:p>
    <w:tbl>
      <w:tblPr>
        <w:tblStyle w:val="TableGrid"/>
        <w:tblW w:w="9355" w:type="dxa"/>
        <w:jc w:val="center"/>
        <w:tblLayout w:type="fixed"/>
        <w:tblLook w:val="04A0" w:firstRow="1" w:lastRow="0" w:firstColumn="1" w:lastColumn="0" w:noHBand="0" w:noVBand="1"/>
      </w:tblPr>
      <w:tblGrid>
        <w:gridCol w:w="2127"/>
        <w:gridCol w:w="3827"/>
        <w:gridCol w:w="3401"/>
      </w:tblGrid>
      <w:tr w:rsidR="009D4B4F" w:rsidRPr="00E729AA" w14:paraId="502FE188" w14:textId="77777777" w:rsidTr="00CC1348">
        <w:trPr>
          <w:jc w:val="center"/>
        </w:trPr>
        <w:tc>
          <w:tcPr>
            <w:tcW w:w="2127" w:type="dxa"/>
          </w:tcPr>
          <w:p w14:paraId="501CE74A" w14:textId="77777777" w:rsidR="009D4B4F" w:rsidRPr="00E729AA" w:rsidRDefault="009D4B4F" w:rsidP="00CC1348">
            <w:pPr>
              <w:spacing w:before="240" w:after="240" w:line="276" w:lineRule="auto"/>
              <w:jc w:val="center"/>
              <w:rPr>
                <w:rFonts w:cs="Arial"/>
                <w:b/>
                <w:bCs/>
              </w:rPr>
            </w:pPr>
            <w:r w:rsidRPr="00E729AA">
              <w:rPr>
                <w:rFonts w:cs="Arial"/>
                <w:b/>
                <w:bCs/>
              </w:rPr>
              <w:t>Name</w:t>
            </w:r>
          </w:p>
        </w:tc>
        <w:tc>
          <w:tcPr>
            <w:tcW w:w="3827" w:type="dxa"/>
          </w:tcPr>
          <w:p w14:paraId="7FE1E04A" w14:textId="77777777" w:rsidR="009D4B4F" w:rsidRPr="00E729AA" w:rsidRDefault="009D4B4F" w:rsidP="00CC1348">
            <w:pPr>
              <w:spacing w:before="240" w:after="240" w:line="276" w:lineRule="auto"/>
              <w:jc w:val="center"/>
              <w:rPr>
                <w:rFonts w:cs="Arial"/>
                <w:b/>
                <w:bCs/>
              </w:rPr>
            </w:pPr>
            <w:r w:rsidRPr="00E729AA">
              <w:rPr>
                <w:rFonts w:cs="Arial"/>
                <w:b/>
                <w:bCs/>
              </w:rPr>
              <w:t>Sequence (5’ to 3’)</w:t>
            </w:r>
          </w:p>
        </w:tc>
        <w:tc>
          <w:tcPr>
            <w:tcW w:w="3401" w:type="dxa"/>
          </w:tcPr>
          <w:p w14:paraId="176671FE" w14:textId="77777777" w:rsidR="009D4B4F" w:rsidRPr="00E729AA" w:rsidRDefault="009D4B4F" w:rsidP="00CC1348">
            <w:pPr>
              <w:spacing w:before="240" w:after="240" w:line="276" w:lineRule="auto"/>
              <w:jc w:val="center"/>
              <w:rPr>
                <w:rFonts w:cs="Arial"/>
                <w:b/>
                <w:bCs/>
              </w:rPr>
            </w:pPr>
            <w:r w:rsidRPr="00E729AA">
              <w:rPr>
                <w:rFonts w:cs="Arial"/>
                <w:b/>
                <w:bCs/>
              </w:rPr>
              <w:t>Description</w:t>
            </w:r>
          </w:p>
        </w:tc>
      </w:tr>
      <w:tr w:rsidR="009D4B4F" w:rsidRPr="00E729AA" w14:paraId="1559DB23" w14:textId="77777777" w:rsidTr="00CC1348">
        <w:trPr>
          <w:jc w:val="center"/>
        </w:trPr>
        <w:tc>
          <w:tcPr>
            <w:tcW w:w="9355" w:type="dxa"/>
            <w:gridSpan w:val="3"/>
            <w:shd w:val="clear" w:color="auto" w:fill="D9D9D9" w:themeFill="background1" w:themeFillShade="D9"/>
          </w:tcPr>
          <w:p w14:paraId="57EC0A74" w14:textId="77777777" w:rsidR="009D4B4F" w:rsidRPr="00E729AA" w:rsidRDefault="009D4B4F" w:rsidP="00CC1348">
            <w:pPr>
              <w:spacing w:before="60" w:after="60" w:line="276" w:lineRule="auto"/>
              <w:jc w:val="center"/>
              <w:rPr>
                <w:rFonts w:cs="Arial"/>
                <w:b/>
                <w:bCs/>
                <w:i/>
                <w:iCs/>
                <w:sz w:val="20"/>
                <w:szCs w:val="20"/>
              </w:rPr>
            </w:pPr>
            <w:r w:rsidRPr="00E729AA">
              <w:rPr>
                <w:rFonts w:cs="Arial"/>
                <w:b/>
                <w:bCs/>
                <w:i/>
                <w:iCs/>
                <w:sz w:val="20"/>
                <w:szCs w:val="20"/>
              </w:rPr>
              <w:t>Strain construction/Cloning</w:t>
            </w:r>
          </w:p>
        </w:tc>
      </w:tr>
      <w:tr w:rsidR="009D4B4F" w:rsidRPr="0034077D" w14:paraId="00028D99" w14:textId="77777777" w:rsidTr="00CC1348">
        <w:trPr>
          <w:jc w:val="center"/>
        </w:trPr>
        <w:tc>
          <w:tcPr>
            <w:tcW w:w="2127" w:type="dxa"/>
            <w:vAlign w:val="center"/>
          </w:tcPr>
          <w:p w14:paraId="33387CC5" w14:textId="77777777" w:rsidR="009D4B4F" w:rsidRPr="00E729AA" w:rsidRDefault="009D4B4F" w:rsidP="00CC1348">
            <w:pPr>
              <w:spacing w:line="240" w:lineRule="auto"/>
              <w:jc w:val="left"/>
              <w:rPr>
                <w:rFonts w:cs="Arial"/>
                <w:sz w:val="20"/>
                <w:szCs w:val="20"/>
              </w:rPr>
            </w:pPr>
            <w:proofErr w:type="spellStart"/>
            <w:r w:rsidRPr="00E729AA">
              <w:rPr>
                <w:rFonts w:cs="Arial"/>
                <w:sz w:val="20"/>
                <w:szCs w:val="20"/>
              </w:rPr>
              <w:t>qTLC1</w:t>
            </w:r>
            <w:proofErr w:type="spellEnd"/>
            <w:r w:rsidRPr="00E729AA">
              <w:rPr>
                <w:rFonts w:cs="Arial"/>
                <w:sz w:val="20"/>
                <w:szCs w:val="20"/>
              </w:rPr>
              <w:t>-F</w:t>
            </w:r>
          </w:p>
        </w:tc>
        <w:tc>
          <w:tcPr>
            <w:tcW w:w="3827" w:type="dxa"/>
            <w:vAlign w:val="center"/>
          </w:tcPr>
          <w:p w14:paraId="19176E1B"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caaatgtgccccgtacatcga</w:t>
            </w:r>
            <w:proofErr w:type="spellEnd"/>
          </w:p>
        </w:tc>
        <w:tc>
          <w:tcPr>
            <w:tcW w:w="3401" w:type="dxa"/>
            <w:vMerge w:val="restart"/>
            <w:vAlign w:val="center"/>
          </w:tcPr>
          <w:p w14:paraId="32E7C1CC" w14:textId="77777777" w:rsidR="009D4B4F" w:rsidRPr="00E729AA" w:rsidRDefault="009D4B4F" w:rsidP="00CC1348">
            <w:pPr>
              <w:spacing w:line="276" w:lineRule="auto"/>
              <w:jc w:val="left"/>
              <w:rPr>
                <w:rFonts w:cs="Arial"/>
                <w:sz w:val="20"/>
                <w:szCs w:val="20"/>
              </w:rPr>
            </w:pPr>
            <w:r w:rsidRPr="00E729AA">
              <w:rPr>
                <w:rFonts w:cs="Arial"/>
                <w:sz w:val="20"/>
                <w:szCs w:val="20"/>
              </w:rPr>
              <w:t xml:space="preserve">To amplify </w:t>
            </w:r>
            <w:proofErr w:type="spellStart"/>
            <w:r w:rsidRPr="00E729AA">
              <w:rPr>
                <w:rFonts w:cs="Arial"/>
                <w:i/>
                <w:iCs/>
                <w:sz w:val="20"/>
                <w:szCs w:val="20"/>
              </w:rPr>
              <w:t>TLC1</w:t>
            </w:r>
            <w:proofErr w:type="spellEnd"/>
            <w:r w:rsidRPr="00E729AA">
              <w:rPr>
                <w:rFonts w:cs="Arial"/>
                <w:i/>
                <w:iCs/>
                <w:sz w:val="20"/>
                <w:szCs w:val="20"/>
              </w:rPr>
              <w:t>-</w:t>
            </w:r>
            <w:r>
              <w:rPr>
                <w:rFonts w:cs="Arial"/>
                <w:i/>
                <w:iCs/>
                <w:sz w:val="20"/>
                <w:szCs w:val="20"/>
              </w:rPr>
              <w:t>[</w:t>
            </w:r>
            <w:proofErr w:type="spellStart"/>
            <w:r w:rsidRPr="00E729AA">
              <w:rPr>
                <w:rFonts w:cs="Arial"/>
                <w:i/>
                <w:iCs/>
                <w:sz w:val="20"/>
                <w:szCs w:val="20"/>
              </w:rPr>
              <w:t>MS2</w:t>
            </w:r>
            <w:proofErr w:type="spellEnd"/>
            <w:r w:rsidRPr="00E729AA">
              <w:rPr>
                <w:rFonts w:cs="Arial"/>
                <w:i/>
                <w:iCs/>
                <w:sz w:val="20"/>
                <w:szCs w:val="20"/>
              </w:rPr>
              <w:t>-IN</w:t>
            </w:r>
            <w:r>
              <w:rPr>
                <w:rFonts w:cs="Arial"/>
                <w:i/>
                <w:iCs/>
                <w:sz w:val="20"/>
                <w:szCs w:val="20"/>
              </w:rPr>
              <w:t>]</w:t>
            </w:r>
            <w:r w:rsidRPr="00E729AA">
              <w:rPr>
                <w:rFonts w:cs="Arial"/>
                <w:sz w:val="20"/>
                <w:szCs w:val="20"/>
              </w:rPr>
              <w:t xml:space="preserve"> cassette</w:t>
            </w:r>
          </w:p>
        </w:tc>
      </w:tr>
      <w:tr w:rsidR="009D4B4F" w:rsidRPr="00E729AA" w14:paraId="2467D30A" w14:textId="77777777" w:rsidTr="00CC1348">
        <w:trPr>
          <w:jc w:val="center"/>
        </w:trPr>
        <w:tc>
          <w:tcPr>
            <w:tcW w:w="2127" w:type="dxa"/>
            <w:vAlign w:val="center"/>
          </w:tcPr>
          <w:p w14:paraId="7CFEDBED" w14:textId="77777777" w:rsidR="009D4B4F" w:rsidRPr="00E729AA" w:rsidRDefault="009D4B4F" w:rsidP="00CC1348">
            <w:pPr>
              <w:spacing w:line="240" w:lineRule="auto"/>
              <w:jc w:val="left"/>
              <w:rPr>
                <w:rFonts w:cs="Arial"/>
                <w:b/>
                <w:bCs/>
                <w:sz w:val="20"/>
                <w:szCs w:val="20"/>
              </w:rPr>
            </w:pPr>
            <w:proofErr w:type="spellStart"/>
            <w:r w:rsidRPr="00E729AA">
              <w:rPr>
                <w:rFonts w:cs="Arial"/>
                <w:sz w:val="20"/>
                <w:szCs w:val="20"/>
              </w:rPr>
              <w:t>TLC1</w:t>
            </w:r>
            <w:proofErr w:type="spellEnd"/>
            <w:r w:rsidRPr="00E729AA">
              <w:rPr>
                <w:rFonts w:cs="Arial"/>
                <w:sz w:val="20"/>
                <w:szCs w:val="20"/>
              </w:rPr>
              <w:t xml:space="preserve"> </w:t>
            </w:r>
            <w:proofErr w:type="spellStart"/>
            <w:r w:rsidRPr="00E729AA">
              <w:rPr>
                <w:rFonts w:cs="Arial"/>
                <w:sz w:val="20"/>
                <w:szCs w:val="20"/>
              </w:rPr>
              <w:t>AvaI</w:t>
            </w:r>
            <w:proofErr w:type="spellEnd"/>
            <w:r w:rsidRPr="00E729AA">
              <w:rPr>
                <w:rFonts w:cs="Arial"/>
                <w:sz w:val="20"/>
                <w:szCs w:val="20"/>
              </w:rPr>
              <w:t>-R</w:t>
            </w:r>
          </w:p>
        </w:tc>
        <w:tc>
          <w:tcPr>
            <w:tcW w:w="3827" w:type="dxa"/>
            <w:vAlign w:val="center"/>
          </w:tcPr>
          <w:p w14:paraId="58481FE3" w14:textId="77777777" w:rsidR="009D4B4F" w:rsidRPr="00E729AA" w:rsidRDefault="009D4B4F" w:rsidP="00CC1348">
            <w:pPr>
              <w:spacing w:before="60" w:after="60" w:line="276" w:lineRule="auto"/>
              <w:jc w:val="left"/>
              <w:rPr>
                <w:rFonts w:cs="Arial"/>
                <w:b/>
                <w:bCs/>
                <w:sz w:val="20"/>
                <w:szCs w:val="20"/>
              </w:rPr>
            </w:pPr>
            <w:proofErr w:type="spellStart"/>
            <w:r w:rsidRPr="00E729AA">
              <w:rPr>
                <w:rFonts w:cs="Arial"/>
                <w:sz w:val="20"/>
                <w:szCs w:val="20"/>
              </w:rPr>
              <w:t>cctatcagtaacactcggggaagg</w:t>
            </w:r>
            <w:proofErr w:type="spellEnd"/>
          </w:p>
        </w:tc>
        <w:tc>
          <w:tcPr>
            <w:tcW w:w="3401" w:type="dxa"/>
            <w:vMerge/>
          </w:tcPr>
          <w:p w14:paraId="61FC3AC7" w14:textId="77777777" w:rsidR="009D4B4F" w:rsidRPr="00E729AA" w:rsidRDefault="009D4B4F" w:rsidP="00CC1348">
            <w:pPr>
              <w:spacing w:line="276" w:lineRule="auto"/>
              <w:jc w:val="left"/>
              <w:rPr>
                <w:rFonts w:cs="Arial"/>
                <w:b/>
                <w:bCs/>
                <w:sz w:val="20"/>
                <w:szCs w:val="20"/>
              </w:rPr>
            </w:pPr>
          </w:p>
        </w:tc>
      </w:tr>
      <w:tr w:rsidR="009D4B4F" w:rsidRPr="0034077D" w14:paraId="5510EE68" w14:textId="77777777" w:rsidTr="00CC1348">
        <w:trPr>
          <w:jc w:val="center"/>
        </w:trPr>
        <w:tc>
          <w:tcPr>
            <w:tcW w:w="2127" w:type="dxa"/>
            <w:vAlign w:val="center"/>
          </w:tcPr>
          <w:p w14:paraId="3E17EBF1" w14:textId="77777777" w:rsidR="009D4B4F" w:rsidRPr="00E729AA" w:rsidRDefault="009D4B4F" w:rsidP="00CC1348">
            <w:pPr>
              <w:spacing w:line="240" w:lineRule="auto"/>
              <w:jc w:val="left"/>
              <w:rPr>
                <w:rFonts w:cs="Arial"/>
                <w:sz w:val="20"/>
                <w:szCs w:val="20"/>
              </w:rPr>
            </w:pPr>
            <w:proofErr w:type="spellStart"/>
            <w:r w:rsidRPr="00E729AA">
              <w:rPr>
                <w:rFonts w:cs="Arial"/>
                <w:sz w:val="20"/>
                <w:szCs w:val="20"/>
              </w:rPr>
              <w:t>YV395_KAP122_F1</w:t>
            </w:r>
            <w:proofErr w:type="spellEnd"/>
          </w:p>
        </w:tc>
        <w:tc>
          <w:tcPr>
            <w:tcW w:w="3827" w:type="dxa"/>
            <w:vAlign w:val="center"/>
          </w:tcPr>
          <w:p w14:paraId="36C35711"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ttgaataccatagtaactagtctcttattcttagtttttgAGATTGTACTGAGAGTGCAC</w:t>
            </w:r>
            <w:proofErr w:type="spellEnd"/>
          </w:p>
        </w:tc>
        <w:tc>
          <w:tcPr>
            <w:tcW w:w="3401" w:type="dxa"/>
            <w:vMerge w:val="restart"/>
            <w:vAlign w:val="center"/>
          </w:tcPr>
          <w:p w14:paraId="7EEFEAD5" w14:textId="77777777" w:rsidR="009D4B4F" w:rsidRPr="00E729AA" w:rsidRDefault="009D4B4F" w:rsidP="00CC1348">
            <w:pPr>
              <w:spacing w:line="276" w:lineRule="auto"/>
              <w:jc w:val="left"/>
              <w:rPr>
                <w:rFonts w:cs="Arial"/>
                <w:b/>
                <w:bCs/>
                <w:sz w:val="20"/>
                <w:szCs w:val="20"/>
              </w:rPr>
            </w:pPr>
            <w:r w:rsidRPr="00E729AA">
              <w:rPr>
                <w:rFonts w:cs="Arial"/>
                <w:sz w:val="20"/>
                <w:szCs w:val="20"/>
              </w:rPr>
              <w:t xml:space="preserve">To amplify </w:t>
            </w:r>
            <w:proofErr w:type="spellStart"/>
            <w:r w:rsidRPr="00E729AA">
              <w:rPr>
                <w:rFonts w:cs="Arial"/>
                <w:i/>
                <w:iCs/>
                <w:sz w:val="20"/>
                <w:szCs w:val="20"/>
              </w:rPr>
              <w:t>kap</w:t>
            </w:r>
            <w:proofErr w:type="gramStart"/>
            <w:r w:rsidRPr="00E729AA">
              <w:rPr>
                <w:rFonts w:cs="Arial"/>
                <w:i/>
                <w:iCs/>
                <w:sz w:val="20"/>
                <w:szCs w:val="20"/>
              </w:rPr>
              <w:t>122</w:t>
            </w:r>
            <w:proofErr w:type="spellEnd"/>
            <w:r w:rsidRPr="00E729AA">
              <w:rPr>
                <w:rFonts w:cs="Arial"/>
                <w:i/>
                <w:iCs/>
                <w:sz w:val="20"/>
                <w:szCs w:val="20"/>
              </w:rPr>
              <w:t>::</w:t>
            </w:r>
            <w:proofErr w:type="spellStart"/>
            <w:proofErr w:type="gramEnd"/>
            <w:r w:rsidRPr="00E729AA">
              <w:rPr>
                <w:rFonts w:cs="Arial"/>
                <w:i/>
                <w:iCs/>
                <w:sz w:val="20"/>
                <w:szCs w:val="20"/>
              </w:rPr>
              <w:t>kanMX4</w:t>
            </w:r>
            <w:proofErr w:type="spellEnd"/>
            <w:r w:rsidRPr="00E729AA">
              <w:rPr>
                <w:rFonts w:cs="Arial"/>
                <w:sz w:val="20"/>
                <w:szCs w:val="20"/>
              </w:rPr>
              <w:t xml:space="preserve"> cassette</w:t>
            </w:r>
          </w:p>
        </w:tc>
      </w:tr>
      <w:tr w:rsidR="009D4B4F" w:rsidRPr="00E729AA" w14:paraId="275F19CF" w14:textId="77777777" w:rsidTr="00CC1348">
        <w:trPr>
          <w:jc w:val="center"/>
        </w:trPr>
        <w:tc>
          <w:tcPr>
            <w:tcW w:w="2127" w:type="dxa"/>
            <w:vAlign w:val="center"/>
          </w:tcPr>
          <w:p w14:paraId="0596DD88" w14:textId="77777777" w:rsidR="009D4B4F" w:rsidRPr="00E729AA" w:rsidRDefault="009D4B4F" w:rsidP="00CC1348">
            <w:pPr>
              <w:spacing w:line="240" w:lineRule="auto"/>
              <w:jc w:val="left"/>
              <w:rPr>
                <w:rFonts w:cs="Arial"/>
                <w:sz w:val="20"/>
                <w:szCs w:val="20"/>
              </w:rPr>
            </w:pPr>
            <w:proofErr w:type="spellStart"/>
            <w:r w:rsidRPr="00E729AA">
              <w:rPr>
                <w:rFonts w:cs="Arial"/>
                <w:sz w:val="20"/>
                <w:szCs w:val="20"/>
              </w:rPr>
              <w:t>YV396_KAP122_R1</w:t>
            </w:r>
            <w:proofErr w:type="spellEnd"/>
          </w:p>
        </w:tc>
        <w:tc>
          <w:tcPr>
            <w:tcW w:w="3827" w:type="dxa"/>
            <w:vAlign w:val="center"/>
          </w:tcPr>
          <w:p w14:paraId="07BD6468"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aagaatagccttcaccctcagcggagaaattcttaacaaaCTGTGCGGTATTTCACACCG</w:t>
            </w:r>
            <w:proofErr w:type="spellEnd"/>
          </w:p>
        </w:tc>
        <w:tc>
          <w:tcPr>
            <w:tcW w:w="3401" w:type="dxa"/>
            <w:vMerge/>
          </w:tcPr>
          <w:p w14:paraId="07C18D87" w14:textId="77777777" w:rsidR="009D4B4F" w:rsidRPr="00E729AA" w:rsidRDefault="009D4B4F" w:rsidP="00CC1348">
            <w:pPr>
              <w:rPr>
                <w:rFonts w:cs="Arial"/>
                <w:b/>
                <w:bCs/>
                <w:sz w:val="20"/>
                <w:szCs w:val="20"/>
              </w:rPr>
            </w:pPr>
          </w:p>
        </w:tc>
      </w:tr>
      <w:tr w:rsidR="009D4B4F" w:rsidRPr="00E729AA" w14:paraId="7C1020C0" w14:textId="77777777" w:rsidTr="00CC1348">
        <w:trPr>
          <w:jc w:val="center"/>
        </w:trPr>
        <w:tc>
          <w:tcPr>
            <w:tcW w:w="2127" w:type="dxa"/>
            <w:vAlign w:val="center"/>
          </w:tcPr>
          <w:p w14:paraId="066DE2A9" w14:textId="77777777" w:rsidR="009D4B4F" w:rsidRPr="00E729AA" w:rsidRDefault="009D4B4F" w:rsidP="00CC1348">
            <w:pPr>
              <w:spacing w:line="240" w:lineRule="auto"/>
              <w:jc w:val="left"/>
              <w:rPr>
                <w:rFonts w:cs="Arial"/>
                <w:sz w:val="20"/>
                <w:szCs w:val="20"/>
              </w:rPr>
            </w:pPr>
            <w:proofErr w:type="spellStart"/>
            <w:r w:rsidRPr="00EF123F">
              <w:rPr>
                <w:rFonts w:cs="Arial"/>
                <w:i/>
                <w:iCs/>
                <w:sz w:val="20"/>
                <w:szCs w:val="20"/>
              </w:rPr>
              <w:t>rrp6Δ</w:t>
            </w:r>
            <w:r w:rsidRPr="00EF123F">
              <w:rPr>
                <w:rFonts w:cs="Arial"/>
                <w:sz w:val="20"/>
                <w:szCs w:val="20"/>
              </w:rPr>
              <w:t>_for</w:t>
            </w:r>
            <w:proofErr w:type="spellEnd"/>
            <w:r w:rsidRPr="00EF123F">
              <w:rPr>
                <w:rFonts w:cs="Arial"/>
                <w:sz w:val="20"/>
                <w:szCs w:val="20"/>
              </w:rPr>
              <w:t xml:space="preserve"> </w:t>
            </w:r>
          </w:p>
        </w:tc>
        <w:tc>
          <w:tcPr>
            <w:tcW w:w="3827" w:type="dxa"/>
            <w:vAlign w:val="center"/>
          </w:tcPr>
          <w:p w14:paraId="409D134F" w14:textId="77777777" w:rsidR="009D4B4F" w:rsidRPr="00E729AA" w:rsidRDefault="009D4B4F" w:rsidP="00CC1348">
            <w:pPr>
              <w:spacing w:before="60" w:after="60" w:line="276" w:lineRule="auto"/>
              <w:jc w:val="left"/>
              <w:rPr>
                <w:rFonts w:cs="Arial"/>
                <w:sz w:val="20"/>
                <w:szCs w:val="20"/>
              </w:rPr>
            </w:pPr>
            <w:r w:rsidRPr="00EF123F">
              <w:rPr>
                <w:rFonts w:cs="Arial"/>
                <w:sz w:val="20"/>
                <w:szCs w:val="20"/>
              </w:rPr>
              <w:t>catctgaagatagacgaaataggaacaacaaacagcttataagcacccaaAGATTGTACTGAGAGTGCAC</w:t>
            </w:r>
          </w:p>
        </w:tc>
        <w:tc>
          <w:tcPr>
            <w:tcW w:w="3401" w:type="dxa"/>
            <w:vMerge w:val="restart"/>
            <w:vAlign w:val="center"/>
          </w:tcPr>
          <w:p w14:paraId="64FA9417" w14:textId="77777777" w:rsidR="009D4B4F" w:rsidRPr="00E729AA" w:rsidRDefault="009D4B4F" w:rsidP="00CC1348">
            <w:pPr>
              <w:spacing w:line="276" w:lineRule="auto"/>
              <w:jc w:val="left"/>
              <w:rPr>
                <w:rFonts w:cs="Arial"/>
                <w:b/>
                <w:bCs/>
                <w:sz w:val="20"/>
                <w:szCs w:val="20"/>
              </w:rPr>
            </w:pPr>
            <w:r w:rsidRPr="00E729AA">
              <w:rPr>
                <w:rFonts w:cs="Arial"/>
                <w:sz w:val="20"/>
                <w:szCs w:val="20"/>
              </w:rPr>
              <w:t xml:space="preserve">To amplify </w:t>
            </w:r>
            <w:proofErr w:type="spellStart"/>
            <w:r>
              <w:rPr>
                <w:rFonts w:cs="Arial"/>
                <w:i/>
                <w:iCs/>
                <w:sz w:val="20"/>
                <w:szCs w:val="20"/>
              </w:rPr>
              <w:t>rrp</w:t>
            </w:r>
            <w:proofErr w:type="gramStart"/>
            <w:r>
              <w:rPr>
                <w:rFonts w:cs="Arial"/>
                <w:i/>
                <w:iCs/>
                <w:sz w:val="20"/>
                <w:szCs w:val="20"/>
              </w:rPr>
              <w:t>6</w:t>
            </w:r>
            <w:proofErr w:type="spellEnd"/>
            <w:r w:rsidRPr="00E729AA">
              <w:rPr>
                <w:rFonts w:cs="Arial"/>
                <w:i/>
                <w:iCs/>
                <w:sz w:val="20"/>
                <w:szCs w:val="20"/>
              </w:rPr>
              <w:t>::</w:t>
            </w:r>
            <w:proofErr w:type="spellStart"/>
            <w:proofErr w:type="gramEnd"/>
            <w:r w:rsidRPr="00E729AA">
              <w:rPr>
                <w:rFonts w:cs="Arial"/>
                <w:i/>
                <w:iCs/>
                <w:sz w:val="20"/>
                <w:szCs w:val="20"/>
              </w:rPr>
              <w:t>kanMX4</w:t>
            </w:r>
            <w:proofErr w:type="spellEnd"/>
            <w:r w:rsidRPr="00E729AA">
              <w:rPr>
                <w:rFonts w:cs="Arial"/>
                <w:sz w:val="20"/>
                <w:szCs w:val="20"/>
              </w:rPr>
              <w:t xml:space="preserve"> cassette</w:t>
            </w:r>
          </w:p>
        </w:tc>
      </w:tr>
      <w:tr w:rsidR="009D4B4F" w:rsidRPr="00E729AA" w14:paraId="5655FBF5" w14:textId="77777777" w:rsidTr="00CC1348">
        <w:trPr>
          <w:jc w:val="center"/>
        </w:trPr>
        <w:tc>
          <w:tcPr>
            <w:tcW w:w="2127" w:type="dxa"/>
            <w:vAlign w:val="center"/>
          </w:tcPr>
          <w:p w14:paraId="11C56342" w14:textId="77777777" w:rsidR="009D4B4F" w:rsidRPr="00E729AA" w:rsidRDefault="009D4B4F" w:rsidP="00CC1348">
            <w:pPr>
              <w:spacing w:line="240" w:lineRule="auto"/>
              <w:jc w:val="left"/>
              <w:rPr>
                <w:rFonts w:cs="Arial"/>
                <w:sz w:val="20"/>
                <w:szCs w:val="20"/>
              </w:rPr>
            </w:pPr>
            <w:proofErr w:type="spellStart"/>
            <w:r w:rsidRPr="00EF123F">
              <w:rPr>
                <w:rFonts w:cs="Arial"/>
                <w:i/>
                <w:iCs/>
                <w:sz w:val="20"/>
                <w:szCs w:val="20"/>
              </w:rPr>
              <w:t>rrp6Δ</w:t>
            </w:r>
            <w:r w:rsidRPr="00EF123F">
              <w:rPr>
                <w:rFonts w:cs="Arial"/>
                <w:sz w:val="20"/>
                <w:szCs w:val="20"/>
              </w:rPr>
              <w:t>_rev</w:t>
            </w:r>
            <w:proofErr w:type="spellEnd"/>
          </w:p>
        </w:tc>
        <w:tc>
          <w:tcPr>
            <w:tcW w:w="3827" w:type="dxa"/>
            <w:vAlign w:val="center"/>
          </w:tcPr>
          <w:p w14:paraId="5C7D980B" w14:textId="77777777" w:rsidR="009D4B4F" w:rsidRPr="00E729AA" w:rsidRDefault="009D4B4F" w:rsidP="00CC1348">
            <w:pPr>
              <w:spacing w:before="60" w:after="60" w:line="276" w:lineRule="auto"/>
              <w:jc w:val="left"/>
              <w:rPr>
                <w:rFonts w:cs="Arial"/>
                <w:sz w:val="20"/>
                <w:szCs w:val="20"/>
              </w:rPr>
            </w:pPr>
            <w:r w:rsidRPr="00EF123F">
              <w:rPr>
                <w:rFonts w:cs="Arial"/>
                <w:sz w:val="20"/>
                <w:szCs w:val="20"/>
              </w:rPr>
              <w:t>gggagccataactccatgacacagatattcgattagatgaatttagaggtCTGTGCGGTATTTCACACCG</w:t>
            </w:r>
          </w:p>
        </w:tc>
        <w:tc>
          <w:tcPr>
            <w:tcW w:w="3401" w:type="dxa"/>
            <w:vMerge/>
          </w:tcPr>
          <w:p w14:paraId="593EB942" w14:textId="77777777" w:rsidR="009D4B4F" w:rsidRPr="00E729AA" w:rsidRDefault="009D4B4F" w:rsidP="00CC1348">
            <w:pPr>
              <w:rPr>
                <w:rFonts w:cs="Arial"/>
                <w:b/>
                <w:bCs/>
                <w:sz w:val="20"/>
                <w:szCs w:val="20"/>
              </w:rPr>
            </w:pPr>
          </w:p>
        </w:tc>
      </w:tr>
      <w:tr w:rsidR="009D4B4F" w:rsidRPr="00E729AA" w14:paraId="34784558" w14:textId="77777777" w:rsidTr="00CC1348">
        <w:trPr>
          <w:jc w:val="center"/>
        </w:trPr>
        <w:tc>
          <w:tcPr>
            <w:tcW w:w="2127" w:type="dxa"/>
            <w:vAlign w:val="center"/>
          </w:tcPr>
          <w:p w14:paraId="3BAFBDD2" w14:textId="77777777" w:rsidR="009D4B4F" w:rsidRPr="00950480" w:rsidRDefault="009D4B4F" w:rsidP="00CC1348">
            <w:pPr>
              <w:spacing w:line="240" w:lineRule="auto"/>
              <w:jc w:val="left"/>
              <w:rPr>
                <w:rFonts w:cs="Arial"/>
                <w:i/>
                <w:iCs/>
                <w:sz w:val="20"/>
                <w:szCs w:val="20"/>
              </w:rPr>
            </w:pPr>
            <w:proofErr w:type="spellStart"/>
            <w:r w:rsidRPr="00950480">
              <w:rPr>
                <w:sz w:val="20"/>
                <w:szCs w:val="20"/>
              </w:rPr>
              <w:t>YV518_MEX67</w:t>
            </w:r>
            <w:proofErr w:type="spellEnd"/>
            <w:r w:rsidRPr="00950480">
              <w:rPr>
                <w:sz w:val="20"/>
                <w:szCs w:val="20"/>
              </w:rPr>
              <w:t>-237</w:t>
            </w:r>
          </w:p>
        </w:tc>
        <w:tc>
          <w:tcPr>
            <w:tcW w:w="3827" w:type="dxa"/>
            <w:vAlign w:val="center"/>
          </w:tcPr>
          <w:p w14:paraId="6011F6A1" w14:textId="77777777" w:rsidR="009D4B4F" w:rsidRPr="00EF123F" w:rsidRDefault="009D4B4F" w:rsidP="00CC1348">
            <w:pPr>
              <w:spacing w:before="60" w:after="60" w:line="276" w:lineRule="auto"/>
              <w:jc w:val="left"/>
              <w:rPr>
                <w:rFonts w:cs="Arial"/>
                <w:sz w:val="20"/>
                <w:szCs w:val="20"/>
              </w:rPr>
            </w:pPr>
            <w:proofErr w:type="spellStart"/>
            <w:r w:rsidRPr="00950480">
              <w:rPr>
                <w:rFonts w:cs="Arial"/>
                <w:sz w:val="20"/>
                <w:szCs w:val="20"/>
              </w:rPr>
              <w:t>ccatgcccacttgcctttcgtagagg</w:t>
            </w:r>
            <w:proofErr w:type="spellEnd"/>
          </w:p>
        </w:tc>
        <w:tc>
          <w:tcPr>
            <w:tcW w:w="3401" w:type="dxa"/>
            <w:vMerge w:val="restart"/>
            <w:vAlign w:val="center"/>
          </w:tcPr>
          <w:p w14:paraId="2C2F7A6C" w14:textId="77777777" w:rsidR="009D4B4F" w:rsidRPr="00E729AA" w:rsidRDefault="009D4B4F" w:rsidP="00CC1348">
            <w:pPr>
              <w:spacing w:line="276" w:lineRule="auto"/>
              <w:jc w:val="left"/>
              <w:rPr>
                <w:rFonts w:cs="Arial"/>
                <w:b/>
                <w:bCs/>
                <w:sz w:val="20"/>
                <w:szCs w:val="20"/>
              </w:rPr>
            </w:pPr>
            <w:r w:rsidRPr="00E729AA">
              <w:rPr>
                <w:rFonts w:cs="Arial"/>
                <w:sz w:val="20"/>
                <w:szCs w:val="20"/>
              </w:rPr>
              <w:t xml:space="preserve">To amplify </w:t>
            </w:r>
            <w:proofErr w:type="spellStart"/>
            <w:r>
              <w:rPr>
                <w:rFonts w:cs="Arial"/>
                <w:i/>
                <w:iCs/>
                <w:sz w:val="20"/>
                <w:szCs w:val="20"/>
              </w:rPr>
              <w:t>mex67</w:t>
            </w:r>
            <w:proofErr w:type="spellEnd"/>
            <w:r>
              <w:rPr>
                <w:rFonts w:cs="Arial"/>
                <w:i/>
                <w:iCs/>
                <w:sz w:val="20"/>
                <w:szCs w:val="20"/>
              </w:rPr>
              <w:t>-5-</w:t>
            </w:r>
            <w:proofErr w:type="spellStart"/>
            <w:r w:rsidRPr="00E729AA">
              <w:rPr>
                <w:rFonts w:cs="Arial"/>
                <w:i/>
                <w:iCs/>
                <w:sz w:val="20"/>
                <w:szCs w:val="20"/>
              </w:rPr>
              <w:t>kanMX</w:t>
            </w:r>
            <w:r>
              <w:rPr>
                <w:rFonts w:cs="Arial"/>
                <w:i/>
                <w:iCs/>
                <w:sz w:val="20"/>
                <w:szCs w:val="20"/>
              </w:rPr>
              <w:t>6</w:t>
            </w:r>
            <w:proofErr w:type="spellEnd"/>
            <w:r>
              <w:rPr>
                <w:rFonts w:cs="Arial"/>
                <w:i/>
                <w:iCs/>
                <w:sz w:val="20"/>
                <w:szCs w:val="20"/>
              </w:rPr>
              <w:t xml:space="preserve"> </w:t>
            </w:r>
            <w:r w:rsidRPr="00E729AA">
              <w:rPr>
                <w:rFonts w:cs="Arial"/>
                <w:sz w:val="20"/>
                <w:szCs w:val="20"/>
              </w:rPr>
              <w:t>cassette</w:t>
            </w:r>
          </w:p>
        </w:tc>
      </w:tr>
      <w:tr w:rsidR="009D4B4F" w:rsidRPr="00E729AA" w14:paraId="14E75534" w14:textId="77777777" w:rsidTr="00CC1348">
        <w:trPr>
          <w:jc w:val="center"/>
        </w:trPr>
        <w:tc>
          <w:tcPr>
            <w:tcW w:w="2127" w:type="dxa"/>
            <w:vAlign w:val="center"/>
          </w:tcPr>
          <w:p w14:paraId="05091F15" w14:textId="77777777" w:rsidR="009D4B4F" w:rsidRPr="00950480" w:rsidRDefault="009D4B4F" w:rsidP="00CC1348">
            <w:pPr>
              <w:spacing w:line="240" w:lineRule="auto"/>
              <w:jc w:val="left"/>
              <w:rPr>
                <w:rFonts w:cs="Arial"/>
                <w:sz w:val="20"/>
                <w:szCs w:val="20"/>
              </w:rPr>
            </w:pPr>
            <w:proofErr w:type="spellStart"/>
            <w:r w:rsidRPr="00950480">
              <w:rPr>
                <w:rFonts w:cs="Arial"/>
                <w:sz w:val="20"/>
                <w:szCs w:val="20"/>
              </w:rPr>
              <w:t>YV519_MEX67+278</w:t>
            </w:r>
            <w:proofErr w:type="spellEnd"/>
          </w:p>
        </w:tc>
        <w:tc>
          <w:tcPr>
            <w:tcW w:w="3827" w:type="dxa"/>
            <w:vAlign w:val="center"/>
          </w:tcPr>
          <w:p w14:paraId="49FA2180" w14:textId="77777777" w:rsidR="009D4B4F" w:rsidRPr="00EF123F" w:rsidRDefault="009D4B4F" w:rsidP="00CC1348">
            <w:pPr>
              <w:spacing w:before="60" w:after="60" w:line="276" w:lineRule="auto"/>
              <w:jc w:val="left"/>
              <w:rPr>
                <w:rFonts w:cs="Arial"/>
                <w:sz w:val="20"/>
                <w:szCs w:val="20"/>
              </w:rPr>
            </w:pPr>
            <w:proofErr w:type="spellStart"/>
            <w:r w:rsidRPr="00950480">
              <w:rPr>
                <w:rFonts w:cs="Arial"/>
                <w:sz w:val="20"/>
                <w:szCs w:val="20"/>
              </w:rPr>
              <w:t>ttggtactctgattccggagcctggc</w:t>
            </w:r>
            <w:proofErr w:type="spellEnd"/>
          </w:p>
        </w:tc>
        <w:tc>
          <w:tcPr>
            <w:tcW w:w="3401" w:type="dxa"/>
            <w:vMerge/>
          </w:tcPr>
          <w:p w14:paraId="1BE4002C" w14:textId="77777777" w:rsidR="009D4B4F" w:rsidRPr="00E729AA" w:rsidRDefault="009D4B4F" w:rsidP="00CC1348">
            <w:pPr>
              <w:rPr>
                <w:rFonts w:cs="Arial"/>
                <w:b/>
                <w:bCs/>
                <w:sz w:val="20"/>
                <w:szCs w:val="20"/>
              </w:rPr>
            </w:pPr>
          </w:p>
        </w:tc>
      </w:tr>
      <w:tr w:rsidR="009D4B4F" w:rsidRPr="00E729AA" w14:paraId="1CF0B050" w14:textId="77777777" w:rsidTr="00CC1348">
        <w:trPr>
          <w:jc w:val="center"/>
        </w:trPr>
        <w:tc>
          <w:tcPr>
            <w:tcW w:w="9355" w:type="dxa"/>
            <w:gridSpan w:val="3"/>
            <w:shd w:val="clear" w:color="auto" w:fill="D9D9D9" w:themeFill="background1" w:themeFillShade="D9"/>
            <w:vAlign w:val="center"/>
          </w:tcPr>
          <w:p w14:paraId="09BC6EBB" w14:textId="77777777" w:rsidR="009D4B4F" w:rsidRPr="00E729AA" w:rsidRDefault="009D4B4F" w:rsidP="00CC1348">
            <w:pPr>
              <w:spacing w:before="60" w:after="60" w:line="276" w:lineRule="auto"/>
              <w:jc w:val="center"/>
              <w:rPr>
                <w:rFonts w:cs="Arial"/>
                <w:b/>
                <w:bCs/>
                <w:sz w:val="20"/>
                <w:szCs w:val="20"/>
              </w:rPr>
            </w:pPr>
            <w:r w:rsidRPr="00E729AA">
              <w:rPr>
                <w:rFonts w:cs="Arial"/>
                <w:b/>
                <w:bCs/>
                <w:i/>
                <w:iCs/>
                <w:sz w:val="20"/>
                <w:szCs w:val="20"/>
              </w:rPr>
              <w:t>Southern/northern blotting</w:t>
            </w:r>
          </w:p>
        </w:tc>
      </w:tr>
      <w:tr w:rsidR="009D4B4F" w:rsidRPr="0034077D" w14:paraId="6090DAD9" w14:textId="77777777" w:rsidTr="00CC1348">
        <w:trPr>
          <w:jc w:val="center"/>
        </w:trPr>
        <w:tc>
          <w:tcPr>
            <w:tcW w:w="2127" w:type="dxa"/>
            <w:vAlign w:val="center"/>
          </w:tcPr>
          <w:p w14:paraId="58A89F43" w14:textId="77777777" w:rsidR="009D4B4F" w:rsidRPr="00E729AA" w:rsidRDefault="009D4B4F" w:rsidP="00CC1348">
            <w:pPr>
              <w:spacing w:before="60" w:after="60" w:line="276" w:lineRule="auto"/>
              <w:jc w:val="left"/>
              <w:rPr>
                <w:rFonts w:cs="Arial"/>
                <w:b/>
                <w:bCs/>
                <w:sz w:val="20"/>
                <w:szCs w:val="20"/>
              </w:rPr>
            </w:pPr>
            <w:proofErr w:type="spellStart"/>
            <w:r w:rsidRPr="00E729AA">
              <w:rPr>
                <w:rFonts w:cs="Arial"/>
                <w:sz w:val="20"/>
                <w:szCs w:val="20"/>
              </w:rPr>
              <w:t>TLC1</w:t>
            </w:r>
            <w:proofErr w:type="spellEnd"/>
            <w:r w:rsidRPr="00E729AA">
              <w:rPr>
                <w:rFonts w:cs="Arial"/>
                <w:sz w:val="20"/>
                <w:szCs w:val="20"/>
              </w:rPr>
              <w:t>-</w:t>
            </w:r>
            <w:proofErr w:type="spellStart"/>
            <w:r w:rsidRPr="00E729AA">
              <w:rPr>
                <w:rFonts w:cs="Arial"/>
                <w:sz w:val="20"/>
                <w:szCs w:val="20"/>
              </w:rPr>
              <w:t>AflII</w:t>
            </w:r>
            <w:proofErr w:type="spellEnd"/>
            <w:r w:rsidRPr="00E729AA">
              <w:rPr>
                <w:rFonts w:cs="Arial"/>
                <w:sz w:val="20"/>
                <w:szCs w:val="20"/>
              </w:rPr>
              <w:t>-F</w:t>
            </w:r>
          </w:p>
        </w:tc>
        <w:tc>
          <w:tcPr>
            <w:tcW w:w="3827" w:type="dxa"/>
            <w:vAlign w:val="center"/>
          </w:tcPr>
          <w:p w14:paraId="57F2C201" w14:textId="77777777" w:rsidR="009D4B4F" w:rsidRPr="00E729AA" w:rsidRDefault="009D4B4F" w:rsidP="00CC1348">
            <w:pPr>
              <w:spacing w:before="60" w:after="60" w:line="276" w:lineRule="auto"/>
              <w:jc w:val="left"/>
              <w:rPr>
                <w:rFonts w:cs="Arial"/>
                <w:b/>
                <w:bCs/>
                <w:sz w:val="20"/>
                <w:szCs w:val="20"/>
              </w:rPr>
            </w:pPr>
            <w:proofErr w:type="spellStart"/>
            <w:r w:rsidRPr="00E729AA">
              <w:rPr>
                <w:rFonts w:cs="Arial"/>
                <w:sz w:val="20"/>
                <w:szCs w:val="20"/>
              </w:rPr>
              <w:t>cctttcttaagcatcggttagg</w:t>
            </w:r>
            <w:proofErr w:type="spellEnd"/>
          </w:p>
        </w:tc>
        <w:tc>
          <w:tcPr>
            <w:tcW w:w="3401" w:type="dxa"/>
            <w:vAlign w:val="center"/>
          </w:tcPr>
          <w:p w14:paraId="17097316" w14:textId="77777777" w:rsidR="009D4B4F" w:rsidRPr="00E729AA" w:rsidRDefault="009D4B4F" w:rsidP="00CC1348">
            <w:pPr>
              <w:spacing w:before="60" w:after="60" w:line="276" w:lineRule="auto"/>
              <w:jc w:val="left"/>
              <w:rPr>
                <w:rFonts w:cs="Arial"/>
                <w:b/>
                <w:bCs/>
                <w:sz w:val="20"/>
                <w:szCs w:val="20"/>
              </w:rPr>
            </w:pPr>
            <w:r w:rsidRPr="00E729AA">
              <w:rPr>
                <w:rFonts w:cs="Arial"/>
                <w:sz w:val="20"/>
                <w:szCs w:val="20"/>
              </w:rPr>
              <w:t xml:space="preserve">To amplify </w:t>
            </w:r>
            <w:proofErr w:type="spellStart"/>
            <w:r w:rsidRPr="00E729AA">
              <w:rPr>
                <w:rFonts w:cs="Arial"/>
                <w:sz w:val="20"/>
                <w:szCs w:val="20"/>
              </w:rPr>
              <w:t>TLC1</w:t>
            </w:r>
            <w:proofErr w:type="spellEnd"/>
            <w:r w:rsidRPr="00E729AA">
              <w:rPr>
                <w:rFonts w:cs="Arial"/>
                <w:sz w:val="20"/>
                <w:szCs w:val="20"/>
              </w:rPr>
              <w:t xml:space="preserve">-specific probe for Southern blot (with </w:t>
            </w:r>
            <w:proofErr w:type="spellStart"/>
            <w:r w:rsidRPr="00E729AA">
              <w:rPr>
                <w:rFonts w:cs="Arial"/>
                <w:sz w:val="20"/>
                <w:szCs w:val="20"/>
              </w:rPr>
              <w:t>TLC1</w:t>
            </w:r>
            <w:proofErr w:type="spellEnd"/>
            <w:r w:rsidRPr="00E729AA">
              <w:rPr>
                <w:rFonts w:cs="Arial"/>
                <w:sz w:val="20"/>
                <w:szCs w:val="20"/>
              </w:rPr>
              <w:t xml:space="preserve"> </w:t>
            </w:r>
            <w:proofErr w:type="spellStart"/>
            <w:r w:rsidRPr="00E729AA">
              <w:rPr>
                <w:rFonts w:cs="Arial"/>
                <w:sz w:val="20"/>
                <w:szCs w:val="20"/>
              </w:rPr>
              <w:t>AvaI</w:t>
            </w:r>
            <w:proofErr w:type="spellEnd"/>
            <w:r w:rsidRPr="00E729AA">
              <w:rPr>
                <w:rFonts w:cs="Arial"/>
                <w:sz w:val="20"/>
                <w:szCs w:val="20"/>
              </w:rPr>
              <w:t>-R)</w:t>
            </w:r>
          </w:p>
        </w:tc>
      </w:tr>
      <w:tr w:rsidR="009D4B4F" w:rsidRPr="0034077D" w14:paraId="0C457309" w14:textId="77777777" w:rsidTr="00CC1348">
        <w:trPr>
          <w:jc w:val="center"/>
        </w:trPr>
        <w:tc>
          <w:tcPr>
            <w:tcW w:w="2127" w:type="dxa"/>
            <w:vAlign w:val="center"/>
          </w:tcPr>
          <w:p w14:paraId="30289817" w14:textId="77777777" w:rsidR="009D4B4F" w:rsidRPr="00E729AA" w:rsidRDefault="009D4B4F" w:rsidP="00CC1348">
            <w:pPr>
              <w:spacing w:before="60" w:after="60" w:line="276" w:lineRule="auto"/>
              <w:jc w:val="left"/>
              <w:rPr>
                <w:rFonts w:cs="Arial"/>
                <w:b/>
                <w:bCs/>
                <w:sz w:val="20"/>
                <w:szCs w:val="20"/>
              </w:rPr>
            </w:pPr>
            <w:proofErr w:type="spellStart"/>
            <w:r w:rsidRPr="00E729AA">
              <w:rPr>
                <w:rFonts w:cs="Arial"/>
                <w:sz w:val="20"/>
                <w:szCs w:val="20"/>
              </w:rPr>
              <w:t>CEN4</w:t>
            </w:r>
            <w:proofErr w:type="spellEnd"/>
            <w:r w:rsidRPr="00E729AA">
              <w:rPr>
                <w:rFonts w:cs="Arial"/>
                <w:sz w:val="20"/>
                <w:szCs w:val="20"/>
              </w:rPr>
              <w:t xml:space="preserve"> probe-F </w:t>
            </w:r>
          </w:p>
        </w:tc>
        <w:tc>
          <w:tcPr>
            <w:tcW w:w="3827" w:type="dxa"/>
            <w:vAlign w:val="center"/>
          </w:tcPr>
          <w:p w14:paraId="205F7B5B" w14:textId="77777777" w:rsidR="009D4B4F" w:rsidRPr="00E729AA" w:rsidRDefault="009D4B4F" w:rsidP="00CC1348">
            <w:pPr>
              <w:spacing w:before="60" w:after="60" w:line="276" w:lineRule="auto"/>
              <w:jc w:val="left"/>
              <w:rPr>
                <w:rFonts w:cs="Arial"/>
                <w:b/>
                <w:bCs/>
                <w:sz w:val="20"/>
                <w:szCs w:val="20"/>
              </w:rPr>
            </w:pPr>
            <w:proofErr w:type="spellStart"/>
            <w:r w:rsidRPr="00E729AA">
              <w:rPr>
                <w:rFonts w:cs="Arial"/>
                <w:sz w:val="20"/>
                <w:szCs w:val="20"/>
              </w:rPr>
              <w:t>atgctgtctcaccatagagaat</w:t>
            </w:r>
            <w:proofErr w:type="spellEnd"/>
          </w:p>
        </w:tc>
        <w:tc>
          <w:tcPr>
            <w:tcW w:w="3401" w:type="dxa"/>
            <w:vMerge w:val="restart"/>
            <w:vAlign w:val="center"/>
          </w:tcPr>
          <w:p w14:paraId="0A0C131A" w14:textId="77777777" w:rsidR="009D4B4F" w:rsidRPr="00E729AA" w:rsidRDefault="009D4B4F" w:rsidP="00CC1348">
            <w:pPr>
              <w:spacing w:before="60" w:after="60" w:line="276" w:lineRule="auto"/>
              <w:jc w:val="left"/>
              <w:rPr>
                <w:rFonts w:cs="Arial"/>
                <w:b/>
                <w:bCs/>
                <w:sz w:val="20"/>
                <w:szCs w:val="20"/>
              </w:rPr>
            </w:pPr>
            <w:r w:rsidRPr="00E729AA">
              <w:rPr>
                <w:rFonts w:cs="Arial"/>
                <w:sz w:val="20"/>
                <w:szCs w:val="20"/>
              </w:rPr>
              <w:t xml:space="preserve">To amplify </w:t>
            </w:r>
            <w:proofErr w:type="spellStart"/>
            <w:r w:rsidRPr="00E729AA">
              <w:rPr>
                <w:rFonts w:cs="Arial"/>
                <w:sz w:val="20"/>
                <w:szCs w:val="20"/>
              </w:rPr>
              <w:t>CEN4</w:t>
            </w:r>
            <w:proofErr w:type="spellEnd"/>
            <w:r w:rsidRPr="00E729AA">
              <w:rPr>
                <w:rFonts w:cs="Arial"/>
                <w:sz w:val="20"/>
                <w:szCs w:val="20"/>
              </w:rPr>
              <w:t xml:space="preserve">-1.5 kb probe for recombination Southern blot </w:t>
            </w:r>
          </w:p>
        </w:tc>
      </w:tr>
      <w:tr w:rsidR="009D4B4F" w:rsidRPr="00E729AA" w14:paraId="3AF8FEE7" w14:textId="77777777" w:rsidTr="00CC1348">
        <w:trPr>
          <w:jc w:val="center"/>
        </w:trPr>
        <w:tc>
          <w:tcPr>
            <w:tcW w:w="2127" w:type="dxa"/>
            <w:vAlign w:val="center"/>
          </w:tcPr>
          <w:p w14:paraId="5F5AE8A6"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CEN4</w:t>
            </w:r>
            <w:proofErr w:type="spellEnd"/>
            <w:r w:rsidRPr="00E729AA">
              <w:rPr>
                <w:rFonts w:cs="Arial"/>
                <w:sz w:val="20"/>
                <w:szCs w:val="20"/>
              </w:rPr>
              <w:t xml:space="preserve"> probe-R </w:t>
            </w:r>
          </w:p>
        </w:tc>
        <w:tc>
          <w:tcPr>
            <w:tcW w:w="3827" w:type="dxa"/>
            <w:vAlign w:val="center"/>
          </w:tcPr>
          <w:p w14:paraId="3D9C13FA"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cgctcctaggtagtgcttt</w:t>
            </w:r>
            <w:proofErr w:type="spellEnd"/>
          </w:p>
        </w:tc>
        <w:tc>
          <w:tcPr>
            <w:tcW w:w="3401" w:type="dxa"/>
            <w:vMerge/>
          </w:tcPr>
          <w:p w14:paraId="27B73856" w14:textId="77777777" w:rsidR="009D4B4F" w:rsidRPr="00E729AA" w:rsidRDefault="009D4B4F" w:rsidP="00CC1348">
            <w:pPr>
              <w:spacing w:beforeLines="60" w:before="144" w:afterLines="60" w:after="144" w:line="276" w:lineRule="auto"/>
              <w:jc w:val="left"/>
              <w:rPr>
                <w:rFonts w:cs="Arial"/>
                <w:b/>
                <w:bCs/>
                <w:sz w:val="20"/>
                <w:szCs w:val="20"/>
              </w:rPr>
            </w:pPr>
          </w:p>
        </w:tc>
      </w:tr>
      <w:tr w:rsidR="009D4B4F" w:rsidRPr="0034077D" w14:paraId="7853D27D" w14:textId="77777777" w:rsidTr="00CC1348">
        <w:trPr>
          <w:jc w:val="center"/>
        </w:trPr>
        <w:tc>
          <w:tcPr>
            <w:tcW w:w="2127" w:type="dxa"/>
            <w:vAlign w:val="center"/>
          </w:tcPr>
          <w:p w14:paraId="7D57BE94"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TLC1</w:t>
            </w:r>
            <w:proofErr w:type="spellEnd"/>
            <w:r w:rsidRPr="00E729AA">
              <w:rPr>
                <w:rFonts w:cs="Arial"/>
                <w:sz w:val="20"/>
                <w:szCs w:val="20"/>
              </w:rPr>
              <w:t xml:space="preserve"> RT-</w:t>
            </w:r>
            <w:proofErr w:type="spellStart"/>
            <w:r w:rsidRPr="00E729AA">
              <w:rPr>
                <w:rFonts w:cs="Arial"/>
                <w:sz w:val="20"/>
                <w:szCs w:val="20"/>
              </w:rPr>
              <w:t>F2</w:t>
            </w:r>
            <w:proofErr w:type="spellEnd"/>
          </w:p>
        </w:tc>
        <w:tc>
          <w:tcPr>
            <w:tcW w:w="3827" w:type="dxa"/>
            <w:vAlign w:val="center"/>
          </w:tcPr>
          <w:p w14:paraId="2A372BBA"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agaacgtcagggaacatgagt</w:t>
            </w:r>
            <w:proofErr w:type="spellEnd"/>
          </w:p>
        </w:tc>
        <w:tc>
          <w:tcPr>
            <w:tcW w:w="3401" w:type="dxa"/>
            <w:vMerge w:val="restart"/>
            <w:vAlign w:val="center"/>
          </w:tcPr>
          <w:p w14:paraId="21955112" w14:textId="77777777" w:rsidR="009D4B4F" w:rsidRPr="00E729AA" w:rsidRDefault="009D4B4F" w:rsidP="00CC1348">
            <w:pPr>
              <w:spacing w:beforeLines="60" w:before="144" w:afterLines="60" w:after="144" w:line="276" w:lineRule="auto"/>
              <w:jc w:val="left"/>
              <w:rPr>
                <w:rFonts w:cs="Arial"/>
                <w:b/>
                <w:bCs/>
                <w:sz w:val="20"/>
                <w:szCs w:val="20"/>
              </w:rPr>
            </w:pPr>
            <w:r w:rsidRPr="00E729AA">
              <w:rPr>
                <w:rFonts w:cs="Arial"/>
                <w:sz w:val="20"/>
                <w:szCs w:val="20"/>
              </w:rPr>
              <w:t xml:space="preserve">To amplify </w:t>
            </w:r>
            <w:proofErr w:type="spellStart"/>
            <w:r w:rsidRPr="00E729AA">
              <w:rPr>
                <w:rFonts w:cs="Arial"/>
                <w:sz w:val="20"/>
                <w:szCs w:val="20"/>
              </w:rPr>
              <w:t>TLC1</w:t>
            </w:r>
            <w:proofErr w:type="spellEnd"/>
            <w:r w:rsidRPr="00E729AA">
              <w:rPr>
                <w:rFonts w:cs="Arial"/>
                <w:sz w:val="20"/>
                <w:szCs w:val="20"/>
              </w:rPr>
              <w:t>-specific probe for northern blot</w:t>
            </w:r>
          </w:p>
        </w:tc>
      </w:tr>
      <w:tr w:rsidR="009D4B4F" w:rsidRPr="00E729AA" w14:paraId="190AB746" w14:textId="77777777" w:rsidTr="00CC1348">
        <w:trPr>
          <w:jc w:val="center"/>
        </w:trPr>
        <w:tc>
          <w:tcPr>
            <w:tcW w:w="2127" w:type="dxa"/>
            <w:vAlign w:val="center"/>
          </w:tcPr>
          <w:p w14:paraId="42BEF308"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TLC1</w:t>
            </w:r>
            <w:proofErr w:type="spellEnd"/>
            <w:r w:rsidRPr="00E729AA">
              <w:rPr>
                <w:rFonts w:cs="Arial"/>
                <w:sz w:val="20"/>
                <w:szCs w:val="20"/>
              </w:rPr>
              <w:t xml:space="preserve"> RT-</w:t>
            </w:r>
            <w:proofErr w:type="spellStart"/>
            <w:r w:rsidRPr="00E729AA">
              <w:rPr>
                <w:rFonts w:cs="Arial"/>
                <w:sz w:val="20"/>
                <w:szCs w:val="20"/>
              </w:rPr>
              <w:t>R2</w:t>
            </w:r>
            <w:proofErr w:type="spellEnd"/>
          </w:p>
        </w:tc>
        <w:tc>
          <w:tcPr>
            <w:tcW w:w="3827" w:type="dxa"/>
            <w:vAlign w:val="center"/>
          </w:tcPr>
          <w:p w14:paraId="327E49DB"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tgtacggggcacatttgga</w:t>
            </w:r>
            <w:proofErr w:type="spellEnd"/>
          </w:p>
        </w:tc>
        <w:tc>
          <w:tcPr>
            <w:tcW w:w="3401" w:type="dxa"/>
            <w:vMerge/>
          </w:tcPr>
          <w:p w14:paraId="31E42921" w14:textId="77777777" w:rsidR="009D4B4F" w:rsidRPr="00E729AA" w:rsidRDefault="009D4B4F" w:rsidP="00CC1348">
            <w:pPr>
              <w:spacing w:beforeLines="60" w:before="144" w:afterLines="60" w:after="144" w:line="276" w:lineRule="auto"/>
              <w:jc w:val="left"/>
              <w:rPr>
                <w:rFonts w:cs="Arial"/>
                <w:b/>
                <w:bCs/>
                <w:sz w:val="20"/>
                <w:szCs w:val="20"/>
              </w:rPr>
            </w:pPr>
          </w:p>
        </w:tc>
      </w:tr>
      <w:tr w:rsidR="009D4B4F" w:rsidRPr="00E729AA" w14:paraId="7DBC5182" w14:textId="77777777" w:rsidTr="00CC1348">
        <w:trPr>
          <w:jc w:val="center"/>
        </w:trPr>
        <w:tc>
          <w:tcPr>
            <w:tcW w:w="2127" w:type="dxa"/>
            <w:vAlign w:val="center"/>
          </w:tcPr>
          <w:p w14:paraId="4B25BB91" w14:textId="77777777" w:rsidR="009D4B4F" w:rsidRPr="00E729AA" w:rsidRDefault="009D4B4F" w:rsidP="00CC1348">
            <w:pPr>
              <w:spacing w:beforeLines="60" w:before="144" w:afterLines="60" w:after="144" w:line="276" w:lineRule="auto"/>
              <w:jc w:val="left"/>
              <w:rPr>
                <w:rFonts w:cs="Arial"/>
                <w:sz w:val="20"/>
                <w:szCs w:val="20"/>
              </w:rPr>
            </w:pPr>
            <w:r>
              <w:rPr>
                <w:rFonts w:cs="Arial"/>
                <w:sz w:val="20"/>
                <w:szCs w:val="20"/>
              </w:rPr>
              <w:t>non</w:t>
            </w:r>
            <w:r w:rsidRPr="006D2B82">
              <w:rPr>
                <w:rFonts w:cs="Arial"/>
                <w:sz w:val="20"/>
                <w:szCs w:val="20"/>
              </w:rPr>
              <w:t>-</w:t>
            </w:r>
            <w:proofErr w:type="spellStart"/>
            <w:r w:rsidRPr="006D2B82">
              <w:rPr>
                <w:rFonts w:cs="Arial"/>
                <w:sz w:val="20"/>
                <w:szCs w:val="20"/>
              </w:rPr>
              <w:t>aminoallyl</w:t>
            </w:r>
            <w:proofErr w:type="spellEnd"/>
            <w:r w:rsidRPr="006D2B82">
              <w:rPr>
                <w:rFonts w:cs="Arial"/>
                <w:sz w:val="20"/>
                <w:szCs w:val="20"/>
              </w:rPr>
              <w:t xml:space="preserve"> </w:t>
            </w:r>
            <w:proofErr w:type="spellStart"/>
            <w:r w:rsidRPr="006D2B82">
              <w:rPr>
                <w:rFonts w:cs="Arial"/>
                <w:sz w:val="20"/>
                <w:szCs w:val="20"/>
              </w:rPr>
              <w:t>MS2</w:t>
            </w:r>
            <w:proofErr w:type="spellEnd"/>
          </w:p>
        </w:tc>
        <w:tc>
          <w:tcPr>
            <w:tcW w:w="3827" w:type="dxa"/>
            <w:vAlign w:val="center"/>
          </w:tcPr>
          <w:p w14:paraId="019979EE" w14:textId="77777777" w:rsidR="009D4B4F" w:rsidRPr="00E729AA" w:rsidRDefault="009D4B4F" w:rsidP="00CC1348">
            <w:pPr>
              <w:spacing w:beforeLines="60" w:before="144" w:afterLines="60" w:after="144" w:line="276" w:lineRule="auto"/>
              <w:jc w:val="left"/>
              <w:rPr>
                <w:rFonts w:cs="Arial"/>
                <w:sz w:val="20"/>
                <w:szCs w:val="20"/>
              </w:rPr>
            </w:pPr>
            <w:proofErr w:type="spellStart"/>
            <w:r w:rsidRPr="006D2B82">
              <w:rPr>
                <w:rFonts w:cs="Arial"/>
                <w:sz w:val="20"/>
                <w:szCs w:val="20"/>
              </w:rPr>
              <w:t>tgggtgatcctcatgttttctagagtcgacgtgcagacatgggtgatcctcat</w:t>
            </w:r>
            <w:proofErr w:type="spellEnd"/>
          </w:p>
        </w:tc>
        <w:tc>
          <w:tcPr>
            <w:tcW w:w="3401" w:type="dxa"/>
          </w:tcPr>
          <w:p w14:paraId="77E7412D" w14:textId="77777777" w:rsidR="009D4B4F" w:rsidRPr="00E729AA" w:rsidRDefault="009D4B4F" w:rsidP="00CC1348">
            <w:pPr>
              <w:spacing w:beforeLines="60" w:before="144" w:afterLines="60" w:after="144" w:line="276" w:lineRule="auto"/>
              <w:jc w:val="left"/>
              <w:rPr>
                <w:rFonts w:cs="Arial"/>
                <w:b/>
                <w:bCs/>
                <w:sz w:val="20"/>
                <w:szCs w:val="20"/>
              </w:rPr>
            </w:pPr>
            <w:r w:rsidRPr="00E729AA">
              <w:rPr>
                <w:rFonts w:cs="Arial"/>
                <w:sz w:val="20"/>
                <w:szCs w:val="20"/>
              </w:rPr>
              <w:t xml:space="preserve">Oligonucleotide </w:t>
            </w:r>
            <w:proofErr w:type="spellStart"/>
            <w:r>
              <w:rPr>
                <w:rFonts w:cs="Arial"/>
                <w:sz w:val="20"/>
                <w:szCs w:val="20"/>
              </w:rPr>
              <w:t>MS2</w:t>
            </w:r>
            <w:proofErr w:type="spellEnd"/>
            <w:r w:rsidRPr="00E729AA">
              <w:rPr>
                <w:rFonts w:cs="Arial"/>
                <w:sz w:val="20"/>
                <w:szCs w:val="20"/>
              </w:rPr>
              <w:t>-specific probe for northern blot</w:t>
            </w:r>
          </w:p>
        </w:tc>
      </w:tr>
      <w:tr w:rsidR="009D4B4F" w:rsidRPr="0034077D" w14:paraId="755B05D5" w14:textId="77777777" w:rsidTr="00CC1348">
        <w:trPr>
          <w:jc w:val="center"/>
        </w:trPr>
        <w:tc>
          <w:tcPr>
            <w:tcW w:w="2127" w:type="dxa"/>
            <w:vAlign w:val="center"/>
          </w:tcPr>
          <w:p w14:paraId="3C8FDED7"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U1</w:t>
            </w:r>
            <w:proofErr w:type="spellEnd"/>
          </w:p>
        </w:tc>
        <w:tc>
          <w:tcPr>
            <w:tcW w:w="3827" w:type="dxa"/>
            <w:vAlign w:val="center"/>
          </w:tcPr>
          <w:p w14:paraId="7664A642"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agcgcatgtttgatcagtagg</w:t>
            </w:r>
            <w:proofErr w:type="spellEnd"/>
          </w:p>
        </w:tc>
        <w:tc>
          <w:tcPr>
            <w:tcW w:w="3401" w:type="dxa"/>
          </w:tcPr>
          <w:p w14:paraId="0E4B2F1C" w14:textId="77777777" w:rsidR="009D4B4F" w:rsidRPr="00E729AA" w:rsidRDefault="009D4B4F" w:rsidP="00CC1348">
            <w:pPr>
              <w:spacing w:beforeLines="60" w:before="144" w:afterLines="60" w:after="144" w:line="276" w:lineRule="auto"/>
              <w:jc w:val="left"/>
              <w:rPr>
                <w:rFonts w:cs="Arial"/>
                <w:b/>
                <w:bCs/>
                <w:sz w:val="20"/>
                <w:szCs w:val="20"/>
              </w:rPr>
            </w:pPr>
            <w:r w:rsidRPr="00E729AA">
              <w:rPr>
                <w:rFonts w:cs="Arial"/>
                <w:sz w:val="20"/>
                <w:szCs w:val="20"/>
              </w:rPr>
              <w:t xml:space="preserve">Oligonucleotide </w:t>
            </w:r>
            <w:proofErr w:type="spellStart"/>
            <w:r w:rsidRPr="00E729AA">
              <w:rPr>
                <w:rFonts w:cs="Arial"/>
                <w:sz w:val="20"/>
                <w:szCs w:val="20"/>
              </w:rPr>
              <w:t>U1</w:t>
            </w:r>
            <w:proofErr w:type="spellEnd"/>
            <w:r w:rsidRPr="00E729AA">
              <w:rPr>
                <w:rFonts w:cs="Arial"/>
                <w:sz w:val="20"/>
                <w:szCs w:val="20"/>
              </w:rPr>
              <w:t>-specific probe for northern blot</w:t>
            </w:r>
          </w:p>
        </w:tc>
      </w:tr>
      <w:tr w:rsidR="009D4B4F" w:rsidRPr="0034077D" w14:paraId="6C84FCF2" w14:textId="77777777" w:rsidTr="00CC1348">
        <w:trPr>
          <w:jc w:val="center"/>
        </w:trPr>
        <w:tc>
          <w:tcPr>
            <w:tcW w:w="2127" w:type="dxa"/>
            <w:vAlign w:val="center"/>
          </w:tcPr>
          <w:p w14:paraId="3FFBB337" w14:textId="77777777" w:rsidR="009D4B4F" w:rsidRPr="00E729AA" w:rsidRDefault="009D4B4F" w:rsidP="00CC1348">
            <w:pPr>
              <w:spacing w:beforeLines="60" w:before="144" w:afterLines="60" w:after="144" w:line="276" w:lineRule="auto"/>
              <w:jc w:val="left"/>
              <w:rPr>
                <w:rFonts w:cs="Arial"/>
                <w:b/>
                <w:bCs/>
                <w:sz w:val="20"/>
                <w:szCs w:val="20"/>
              </w:rPr>
            </w:pPr>
            <w:r w:rsidRPr="00E729AA">
              <w:rPr>
                <w:rFonts w:cs="Arial"/>
                <w:sz w:val="20"/>
                <w:szCs w:val="20"/>
              </w:rPr>
              <w:t>Ch IV-R </w:t>
            </w:r>
          </w:p>
        </w:tc>
        <w:tc>
          <w:tcPr>
            <w:tcW w:w="3827" w:type="dxa"/>
            <w:vAlign w:val="center"/>
          </w:tcPr>
          <w:p w14:paraId="3617221E" w14:textId="77777777" w:rsidR="009D4B4F" w:rsidRPr="00E729AA" w:rsidRDefault="009D4B4F" w:rsidP="00CC1348">
            <w:pPr>
              <w:spacing w:beforeLines="60" w:before="144" w:afterLines="60" w:after="144" w:line="276" w:lineRule="auto"/>
              <w:jc w:val="left"/>
              <w:rPr>
                <w:rFonts w:cs="Arial"/>
                <w:b/>
                <w:bCs/>
                <w:sz w:val="20"/>
                <w:szCs w:val="20"/>
              </w:rPr>
            </w:pPr>
            <w:proofErr w:type="spellStart"/>
            <w:r w:rsidRPr="00E729AA">
              <w:rPr>
                <w:rFonts w:cs="Arial"/>
                <w:sz w:val="20"/>
                <w:szCs w:val="20"/>
              </w:rPr>
              <w:t>ctcattcgaatccatacgacc</w:t>
            </w:r>
            <w:proofErr w:type="spellEnd"/>
          </w:p>
        </w:tc>
        <w:tc>
          <w:tcPr>
            <w:tcW w:w="3401" w:type="dxa"/>
            <w:vMerge w:val="restart"/>
            <w:vAlign w:val="center"/>
          </w:tcPr>
          <w:p w14:paraId="3084AA46" w14:textId="77777777" w:rsidR="009D4B4F" w:rsidRPr="00E729AA" w:rsidRDefault="009D4B4F" w:rsidP="00CC1348">
            <w:pPr>
              <w:spacing w:beforeLines="60" w:before="144" w:afterLines="60" w:after="144" w:line="276" w:lineRule="auto"/>
              <w:jc w:val="left"/>
              <w:rPr>
                <w:rFonts w:cs="Arial"/>
                <w:b/>
                <w:bCs/>
                <w:sz w:val="20"/>
                <w:szCs w:val="20"/>
              </w:rPr>
            </w:pPr>
            <w:r w:rsidRPr="00E729AA">
              <w:rPr>
                <w:rFonts w:cs="Arial"/>
                <w:sz w:val="20"/>
                <w:szCs w:val="20"/>
              </w:rPr>
              <w:t xml:space="preserve">To amplify </w:t>
            </w:r>
            <w:proofErr w:type="spellStart"/>
            <w:r w:rsidRPr="00E729AA">
              <w:rPr>
                <w:rFonts w:cs="Arial"/>
                <w:sz w:val="20"/>
                <w:szCs w:val="20"/>
              </w:rPr>
              <w:t>CEN4</w:t>
            </w:r>
            <w:proofErr w:type="spellEnd"/>
            <w:r w:rsidRPr="00E729AA">
              <w:rPr>
                <w:rFonts w:cs="Arial"/>
                <w:sz w:val="20"/>
                <w:szCs w:val="20"/>
              </w:rPr>
              <w:t xml:space="preserve">-1.6 kb probe for </w:t>
            </w:r>
            <w:proofErr w:type="spellStart"/>
            <w:r w:rsidRPr="00E729AA">
              <w:rPr>
                <w:rFonts w:cs="Arial"/>
                <w:sz w:val="20"/>
                <w:szCs w:val="20"/>
              </w:rPr>
              <w:t>teloblot</w:t>
            </w:r>
            <w:proofErr w:type="spellEnd"/>
          </w:p>
        </w:tc>
      </w:tr>
      <w:tr w:rsidR="009D4B4F" w:rsidRPr="00E729AA" w14:paraId="3FCAB18D" w14:textId="77777777" w:rsidTr="00CC1348">
        <w:trPr>
          <w:jc w:val="center"/>
        </w:trPr>
        <w:tc>
          <w:tcPr>
            <w:tcW w:w="2127" w:type="dxa"/>
            <w:vAlign w:val="center"/>
          </w:tcPr>
          <w:p w14:paraId="44E8AEA0" w14:textId="77777777" w:rsidR="009D4B4F" w:rsidRPr="00E729AA" w:rsidRDefault="009D4B4F" w:rsidP="00CC1348">
            <w:pPr>
              <w:spacing w:before="60" w:after="60" w:line="276" w:lineRule="auto"/>
              <w:jc w:val="left"/>
              <w:rPr>
                <w:rFonts w:cs="Arial"/>
                <w:b/>
                <w:bCs/>
                <w:sz w:val="20"/>
                <w:szCs w:val="20"/>
              </w:rPr>
            </w:pPr>
            <w:r w:rsidRPr="00E729AA">
              <w:rPr>
                <w:rFonts w:cs="Arial"/>
                <w:sz w:val="20"/>
                <w:szCs w:val="20"/>
              </w:rPr>
              <w:t>Ch IV-L</w:t>
            </w:r>
          </w:p>
        </w:tc>
        <w:tc>
          <w:tcPr>
            <w:tcW w:w="3827" w:type="dxa"/>
            <w:vAlign w:val="center"/>
          </w:tcPr>
          <w:p w14:paraId="2D7FFA61" w14:textId="77777777" w:rsidR="009D4B4F" w:rsidRPr="00E729AA" w:rsidRDefault="009D4B4F" w:rsidP="00CC1348">
            <w:pPr>
              <w:spacing w:before="60" w:after="60" w:line="276" w:lineRule="auto"/>
              <w:jc w:val="left"/>
              <w:rPr>
                <w:rFonts w:cs="Arial"/>
                <w:b/>
                <w:bCs/>
                <w:sz w:val="20"/>
                <w:szCs w:val="20"/>
              </w:rPr>
            </w:pPr>
            <w:proofErr w:type="spellStart"/>
            <w:r w:rsidRPr="00E729AA">
              <w:rPr>
                <w:rFonts w:cs="Arial"/>
                <w:sz w:val="20"/>
                <w:szCs w:val="20"/>
              </w:rPr>
              <w:t>gtacctcggtttagttaagcg</w:t>
            </w:r>
            <w:proofErr w:type="spellEnd"/>
          </w:p>
        </w:tc>
        <w:tc>
          <w:tcPr>
            <w:tcW w:w="3401" w:type="dxa"/>
            <w:vMerge/>
          </w:tcPr>
          <w:p w14:paraId="21B5354E" w14:textId="77777777" w:rsidR="009D4B4F" w:rsidRPr="00E729AA" w:rsidRDefault="009D4B4F" w:rsidP="00CC1348">
            <w:pPr>
              <w:rPr>
                <w:rFonts w:cs="Arial"/>
                <w:b/>
                <w:bCs/>
                <w:sz w:val="20"/>
                <w:szCs w:val="20"/>
              </w:rPr>
            </w:pPr>
          </w:p>
        </w:tc>
      </w:tr>
      <w:tr w:rsidR="009D4B4F" w:rsidRPr="00E729AA" w14:paraId="498FD599" w14:textId="77777777" w:rsidTr="00CC1348">
        <w:trPr>
          <w:jc w:val="center"/>
        </w:trPr>
        <w:tc>
          <w:tcPr>
            <w:tcW w:w="9355" w:type="dxa"/>
            <w:gridSpan w:val="3"/>
            <w:shd w:val="clear" w:color="auto" w:fill="D9D9D9" w:themeFill="background1" w:themeFillShade="D9"/>
          </w:tcPr>
          <w:p w14:paraId="5E0A3B3F" w14:textId="77777777" w:rsidR="009D4B4F" w:rsidRPr="00E729AA" w:rsidRDefault="009D4B4F" w:rsidP="00CC1348">
            <w:pPr>
              <w:spacing w:before="60" w:after="60" w:line="276" w:lineRule="auto"/>
              <w:jc w:val="center"/>
              <w:rPr>
                <w:rFonts w:cs="Arial"/>
                <w:b/>
                <w:bCs/>
                <w:sz w:val="20"/>
                <w:szCs w:val="20"/>
              </w:rPr>
            </w:pPr>
            <w:r w:rsidRPr="00E729AA">
              <w:rPr>
                <w:rFonts w:cs="Arial"/>
                <w:b/>
                <w:bCs/>
                <w:i/>
                <w:iCs/>
                <w:sz w:val="20"/>
                <w:szCs w:val="20"/>
              </w:rPr>
              <w:lastRenderedPageBreak/>
              <w:t>FISH</w:t>
            </w:r>
          </w:p>
        </w:tc>
      </w:tr>
      <w:tr w:rsidR="009D4B4F" w:rsidRPr="0034077D" w14:paraId="285DBAD1" w14:textId="77777777" w:rsidTr="00CC1348">
        <w:trPr>
          <w:jc w:val="center"/>
        </w:trPr>
        <w:tc>
          <w:tcPr>
            <w:tcW w:w="2127" w:type="dxa"/>
            <w:vAlign w:val="center"/>
          </w:tcPr>
          <w:p w14:paraId="2E023622"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w:t>
            </w:r>
            <w:proofErr w:type="spellEnd"/>
            <w:r w:rsidRPr="00E729AA">
              <w:rPr>
                <w:rFonts w:cs="Arial"/>
                <w:sz w:val="20"/>
                <w:szCs w:val="20"/>
              </w:rPr>
              <w:t>-1</w:t>
            </w:r>
            <w:r w:rsidRPr="00E729AA">
              <w:rPr>
                <w:rFonts w:cs="Arial"/>
                <w:sz w:val="20"/>
                <w:szCs w:val="20"/>
                <w:vertAlign w:val="superscript"/>
              </w:rPr>
              <w:t>1</w:t>
            </w:r>
          </w:p>
        </w:tc>
        <w:tc>
          <w:tcPr>
            <w:tcW w:w="3827" w:type="dxa"/>
            <w:vAlign w:val="center"/>
          </w:tcPr>
          <w:p w14:paraId="25E3913E" w14:textId="77777777" w:rsidR="009D4B4F" w:rsidRPr="00E729AA" w:rsidRDefault="009D4B4F" w:rsidP="00CC1348">
            <w:pPr>
              <w:spacing w:before="60" w:after="60" w:line="276" w:lineRule="auto"/>
              <w:jc w:val="left"/>
              <w:rPr>
                <w:rFonts w:cs="Arial"/>
                <w:sz w:val="20"/>
                <w:szCs w:val="20"/>
              </w:rPr>
            </w:pPr>
            <w:r w:rsidRPr="00E729AA">
              <w:rPr>
                <w:rFonts w:cs="Arial"/>
                <w:sz w:val="20"/>
                <w:szCs w:val="20"/>
              </w:rPr>
              <w:t>t*</w:t>
            </w:r>
            <w:proofErr w:type="spellStart"/>
            <w:r w:rsidRPr="00E729AA">
              <w:rPr>
                <w:rFonts w:cs="Arial"/>
                <w:sz w:val="20"/>
                <w:szCs w:val="20"/>
              </w:rPr>
              <w:t>gcgcacacacaagcat</w:t>
            </w:r>
            <w:proofErr w:type="spellEnd"/>
            <w:r w:rsidRPr="00E729AA">
              <w:rPr>
                <w:rFonts w:cs="Arial"/>
                <w:sz w:val="20"/>
                <w:szCs w:val="20"/>
              </w:rPr>
              <w:t>*</w:t>
            </w:r>
            <w:proofErr w:type="spellStart"/>
            <w:r w:rsidRPr="00E729AA">
              <w:rPr>
                <w:rFonts w:cs="Arial"/>
                <w:sz w:val="20"/>
                <w:szCs w:val="20"/>
              </w:rPr>
              <w:t>ctacactgacaccagcat</w:t>
            </w:r>
            <w:proofErr w:type="spellEnd"/>
            <w:r w:rsidRPr="00E729AA">
              <w:rPr>
                <w:rFonts w:cs="Arial"/>
                <w:sz w:val="20"/>
                <w:szCs w:val="20"/>
              </w:rPr>
              <w:t>*</w:t>
            </w:r>
            <w:proofErr w:type="spellStart"/>
            <w:r w:rsidRPr="00E729AA">
              <w:rPr>
                <w:rFonts w:cs="Arial"/>
                <w:sz w:val="20"/>
                <w:szCs w:val="20"/>
              </w:rPr>
              <w:t>actcgaaattctt</w:t>
            </w:r>
            <w:proofErr w:type="spellEnd"/>
            <w:r w:rsidRPr="00E729AA">
              <w:rPr>
                <w:rFonts w:cs="Arial"/>
                <w:sz w:val="20"/>
                <w:szCs w:val="20"/>
              </w:rPr>
              <w:t>*</w:t>
            </w:r>
            <w:proofErr w:type="spellStart"/>
            <w:r w:rsidRPr="00E729AA">
              <w:rPr>
                <w:rFonts w:cs="Arial"/>
                <w:sz w:val="20"/>
                <w:szCs w:val="20"/>
              </w:rPr>
              <w:t>tg</w:t>
            </w:r>
            <w:proofErr w:type="spellEnd"/>
          </w:p>
        </w:tc>
        <w:tc>
          <w:tcPr>
            <w:tcW w:w="3401" w:type="dxa"/>
            <w:vMerge w:val="restart"/>
            <w:vAlign w:val="center"/>
          </w:tcPr>
          <w:p w14:paraId="2647B7AA" w14:textId="77777777" w:rsidR="009D4B4F" w:rsidRPr="00E729AA" w:rsidRDefault="009D4B4F" w:rsidP="00CC1348">
            <w:pPr>
              <w:spacing w:before="60" w:after="60" w:line="276" w:lineRule="auto"/>
              <w:jc w:val="left"/>
              <w:rPr>
                <w:rFonts w:cs="Arial"/>
                <w:sz w:val="20"/>
                <w:szCs w:val="20"/>
              </w:rPr>
            </w:pPr>
            <w:r w:rsidRPr="00E729AA">
              <w:rPr>
                <w:rFonts w:cs="Arial"/>
                <w:sz w:val="20"/>
                <w:szCs w:val="20"/>
              </w:rPr>
              <w:t xml:space="preserve">Oligonucleotide </w:t>
            </w:r>
            <w:proofErr w:type="spellStart"/>
            <w:r w:rsidRPr="00E729AA">
              <w:rPr>
                <w:rFonts w:cs="Arial"/>
                <w:sz w:val="20"/>
                <w:szCs w:val="20"/>
              </w:rPr>
              <w:t>TLC1</w:t>
            </w:r>
            <w:proofErr w:type="spellEnd"/>
            <w:r w:rsidRPr="00E729AA">
              <w:rPr>
                <w:rFonts w:cs="Arial"/>
                <w:sz w:val="20"/>
                <w:szCs w:val="20"/>
              </w:rPr>
              <w:t>-specific FISH probes</w:t>
            </w:r>
          </w:p>
        </w:tc>
      </w:tr>
      <w:tr w:rsidR="009D4B4F" w:rsidRPr="0034077D" w14:paraId="74CB6F31" w14:textId="77777777" w:rsidTr="00CC1348">
        <w:trPr>
          <w:jc w:val="center"/>
        </w:trPr>
        <w:tc>
          <w:tcPr>
            <w:tcW w:w="2127" w:type="dxa"/>
            <w:vAlign w:val="center"/>
          </w:tcPr>
          <w:p w14:paraId="2ED4B766"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w:t>
            </w:r>
            <w:proofErr w:type="spellEnd"/>
            <w:r w:rsidRPr="00E729AA">
              <w:rPr>
                <w:rFonts w:cs="Arial"/>
                <w:sz w:val="20"/>
                <w:szCs w:val="20"/>
              </w:rPr>
              <w:t>-2</w:t>
            </w:r>
            <w:r w:rsidRPr="00E729AA">
              <w:rPr>
                <w:rFonts w:cs="Arial"/>
                <w:sz w:val="20"/>
                <w:szCs w:val="20"/>
                <w:vertAlign w:val="superscript"/>
              </w:rPr>
              <w:t>1</w:t>
            </w:r>
            <w:r w:rsidRPr="00E729AA">
              <w:rPr>
                <w:rFonts w:cs="Arial"/>
                <w:sz w:val="20"/>
                <w:szCs w:val="20"/>
              </w:rPr>
              <w:tab/>
            </w:r>
          </w:p>
        </w:tc>
        <w:tc>
          <w:tcPr>
            <w:tcW w:w="3827" w:type="dxa"/>
            <w:vAlign w:val="center"/>
          </w:tcPr>
          <w:p w14:paraId="318C84DE" w14:textId="77777777" w:rsidR="009D4B4F" w:rsidRPr="00E729AA" w:rsidRDefault="009D4B4F" w:rsidP="00CC1348">
            <w:pPr>
              <w:spacing w:before="60" w:after="60" w:line="276" w:lineRule="auto"/>
              <w:jc w:val="left"/>
              <w:rPr>
                <w:rFonts w:cs="Arial"/>
                <w:i/>
                <w:iCs/>
                <w:sz w:val="20"/>
                <w:szCs w:val="20"/>
              </w:rPr>
            </w:pPr>
            <w:proofErr w:type="spellStart"/>
            <w:r w:rsidRPr="00E729AA">
              <w:rPr>
                <w:rFonts w:cs="Arial"/>
                <w:sz w:val="20"/>
                <w:szCs w:val="20"/>
              </w:rPr>
              <w:t>ct</w:t>
            </w:r>
            <w:proofErr w:type="spellEnd"/>
            <w:r w:rsidRPr="00E729AA">
              <w:rPr>
                <w:rFonts w:cs="Arial"/>
                <w:sz w:val="20"/>
                <w:szCs w:val="20"/>
              </w:rPr>
              <w:t>*</w:t>
            </w:r>
            <w:proofErr w:type="spellStart"/>
            <w:r w:rsidRPr="00E729AA">
              <w:rPr>
                <w:rFonts w:cs="Arial"/>
                <w:sz w:val="20"/>
                <w:szCs w:val="20"/>
              </w:rPr>
              <w:t>aataaacaatt</w:t>
            </w:r>
            <w:proofErr w:type="spellEnd"/>
            <w:r w:rsidRPr="00E729AA">
              <w:rPr>
                <w:rFonts w:cs="Arial"/>
                <w:sz w:val="20"/>
                <w:szCs w:val="20"/>
              </w:rPr>
              <w:t>*</w:t>
            </w:r>
            <w:proofErr w:type="spellStart"/>
            <w:r w:rsidRPr="00E729AA">
              <w:rPr>
                <w:rFonts w:cs="Arial"/>
                <w:sz w:val="20"/>
                <w:szCs w:val="20"/>
              </w:rPr>
              <w:t>agctgtaacatt</w:t>
            </w:r>
            <w:proofErr w:type="spellEnd"/>
            <w:r w:rsidRPr="00E729AA">
              <w:rPr>
                <w:rFonts w:cs="Arial"/>
                <w:sz w:val="20"/>
                <w:szCs w:val="20"/>
              </w:rPr>
              <w:t>*</w:t>
            </w:r>
            <w:proofErr w:type="spellStart"/>
            <w:r w:rsidRPr="00E729AA">
              <w:rPr>
                <w:rFonts w:cs="Arial"/>
                <w:sz w:val="20"/>
                <w:szCs w:val="20"/>
              </w:rPr>
              <w:t>tgtgtgtggggt</w:t>
            </w:r>
            <w:proofErr w:type="spellEnd"/>
            <w:r w:rsidRPr="00E729AA">
              <w:rPr>
                <w:rFonts w:cs="Arial"/>
                <w:sz w:val="20"/>
                <w:szCs w:val="20"/>
              </w:rPr>
              <w:t>*</w:t>
            </w:r>
            <w:proofErr w:type="spellStart"/>
            <w:r w:rsidRPr="00E729AA">
              <w:rPr>
                <w:rFonts w:cs="Arial"/>
                <w:sz w:val="20"/>
                <w:szCs w:val="20"/>
              </w:rPr>
              <w:t>gtggtgatggt</w:t>
            </w:r>
            <w:proofErr w:type="spellEnd"/>
            <w:r w:rsidRPr="00E729AA">
              <w:rPr>
                <w:rFonts w:cs="Arial"/>
                <w:sz w:val="20"/>
                <w:szCs w:val="20"/>
              </w:rPr>
              <w:t>*</w:t>
            </w:r>
            <w:proofErr w:type="spellStart"/>
            <w:r w:rsidRPr="00E729AA">
              <w:rPr>
                <w:rFonts w:cs="Arial"/>
                <w:sz w:val="20"/>
                <w:szCs w:val="20"/>
              </w:rPr>
              <w:t>aggc</w:t>
            </w:r>
            <w:proofErr w:type="spellEnd"/>
            <w:r w:rsidRPr="00E729AA">
              <w:rPr>
                <w:rFonts w:cs="Arial"/>
                <w:sz w:val="20"/>
                <w:szCs w:val="20"/>
              </w:rPr>
              <w:tab/>
            </w:r>
          </w:p>
        </w:tc>
        <w:tc>
          <w:tcPr>
            <w:tcW w:w="3401" w:type="dxa"/>
            <w:vMerge/>
          </w:tcPr>
          <w:p w14:paraId="76D2170E" w14:textId="77777777" w:rsidR="009D4B4F" w:rsidRPr="00E729AA" w:rsidRDefault="009D4B4F" w:rsidP="00CC1348">
            <w:pPr>
              <w:spacing w:before="60" w:after="60" w:line="276" w:lineRule="auto"/>
              <w:rPr>
                <w:rFonts w:cs="Arial"/>
              </w:rPr>
            </w:pPr>
          </w:p>
        </w:tc>
      </w:tr>
      <w:tr w:rsidR="009D4B4F" w:rsidRPr="0034077D" w14:paraId="23518A1E" w14:textId="77777777" w:rsidTr="00CC1348">
        <w:trPr>
          <w:jc w:val="center"/>
        </w:trPr>
        <w:tc>
          <w:tcPr>
            <w:tcW w:w="2127" w:type="dxa"/>
            <w:vAlign w:val="center"/>
          </w:tcPr>
          <w:p w14:paraId="3B75956D"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w:t>
            </w:r>
            <w:proofErr w:type="spellEnd"/>
            <w:r w:rsidRPr="00E729AA">
              <w:rPr>
                <w:rFonts w:cs="Arial"/>
                <w:sz w:val="20"/>
                <w:szCs w:val="20"/>
              </w:rPr>
              <w:t>-3</w:t>
            </w:r>
            <w:r w:rsidRPr="00E729AA">
              <w:rPr>
                <w:rFonts w:cs="Arial"/>
                <w:sz w:val="20"/>
                <w:szCs w:val="20"/>
                <w:vertAlign w:val="superscript"/>
              </w:rPr>
              <w:t>1</w:t>
            </w:r>
            <w:r w:rsidRPr="00E729AA">
              <w:rPr>
                <w:rFonts w:cs="Arial"/>
                <w:sz w:val="20"/>
                <w:szCs w:val="20"/>
              </w:rPr>
              <w:t xml:space="preserve">                        </w:t>
            </w:r>
          </w:p>
        </w:tc>
        <w:tc>
          <w:tcPr>
            <w:tcW w:w="3827" w:type="dxa"/>
            <w:vAlign w:val="center"/>
          </w:tcPr>
          <w:p w14:paraId="28F23C5C" w14:textId="77777777" w:rsidR="009D4B4F" w:rsidRPr="00E729AA" w:rsidRDefault="009D4B4F" w:rsidP="00CC1348">
            <w:pPr>
              <w:spacing w:before="60" w:after="60" w:line="276" w:lineRule="auto"/>
              <w:jc w:val="left"/>
              <w:rPr>
                <w:rFonts w:cs="Arial"/>
                <w:i/>
                <w:iCs/>
                <w:sz w:val="20"/>
                <w:szCs w:val="20"/>
              </w:rPr>
            </w:pPr>
            <w:proofErr w:type="spellStart"/>
            <w:r w:rsidRPr="00E729AA">
              <w:rPr>
                <w:rFonts w:cs="Arial"/>
                <w:sz w:val="20"/>
                <w:szCs w:val="20"/>
              </w:rPr>
              <w:t>tt</w:t>
            </w:r>
            <w:proofErr w:type="spellEnd"/>
            <w:r w:rsidRPr="00E729AA">
              <w:rPr>
                <w:rFonts w:cs="Arial"/>
                <w:sz w:val="20"/>
                <w:szCs w:val="20"/>
              </w:rPr>
              <w:t>*</w:t>
            </w:r>
            <w:proofErr w:type="spellStart"/>
            <w:r w:rsidRPr="00E729AA">
              <w:rPr>
                <w:rFonts w:cs="Arial"/>
                <w:sz w:val="20"/>
                <w:szCs w:val="20"/>
              </w:rPr>
              <w:t>ccagagttaacgat</w:t>
            </w:r>
            <w:proofErr w:type="spellEnd"/>
            <w:r w:rsidRPr="00E729AA">
              <w:rPr>
                <w:rFonts w:cs="Arial"/>
                <w:sz w:val="20"/>
                <w:szCs w:val="20"/>
              </w:rPr>
              <w:t>*</w:t>
            </w:r>
            <w:proofErr w:type="spellStart"/>
            <w:r w:rsidRPr="00E729AA">
              <w:rPr>
                <w:rFonts w:cs="Arial"/>
                <w:sz w:val="20"/>
                <w:szCs w:val="20"/>
              </w:rPr>
              <w:t>aagatagacat</w:t>
            </w:r>
            <w:proofErr w:type="spellEnd"/>
            <w:r w:rsidRPr="00E729AA">
              <w:rPr>
                <w:rFonts w:cs="Arial"/>
                <w:sz w:val="20"/>
                <w:szCs w:val="20"/>
              </w:rPr>
              <w:t>*</w:t>
            </w:r>
            <w:proofErr w:type="spellStart"/>
            <w:r w:rsidRPr="00E729AA">
              <w:rPr>
                <w:rFonts w:cs="Arial"/>
                <w:sz w:val="20"/>
                <w:szCs w:val="20"/>
              </w:rPr>
              <w:t>aaagtgacagcgct</w:t>
            </w:r>
            <w:proofErr w:type="spellEnd"/>
            <w:r w:rsidRPr="00E729AA">
              <w:rPr>
                <w:rFonts w:cs="Arial"/>
                <w:sz w:val="20"/>
                <w:szCs w:val="20"/>
              </w:rPr>
              <w:t>*</w:t>
            </w:r>
            <w:proofErr w:type="spellStart"/>
            <w:r w:rsidRPr="00E729AA">
              <w:rPr>
                <w:rFonts w:cs="Arial"/>
                <w:sz w:val="20"/>
                <w:szCs w:val="20"/>
              </w:rPr>
              <w:t>tagcaccgt</w:t>
            </w:r>
            <w:proofErr w:type="spellEnd"/>
            <w:r w:rsidRPr="00E729AA">
              <w:rPr>
                <w:rFonts w:cs="Arial"/>
                <w:sz w:val="20"/>
                <w:szCs w:val="20"/>
              </w:rPr>
              <w:t>*c</w:t>
            </w:r>
          </w:p>
        </w:tc>
        <w:tc>
          <w:tcPr>
            <w:tcW w:w="3401" w:type="dxa"/>
            <w:vMerge/>
          </w:tcPr>
          <w:p w14:paraId="70024D04" w14:textId="77777777" w:rsidR="009D4B4F" w:rsidRPr="00E729AA" w:rsidRDefault="009D4B4F" w:rsidP="00CC1348">
            <w:pPr>
              <w:spacing w:before="60" w:after="60" w:line="276" w:lineRule="auto"/>
              <w:rPr>
                <w:rFonts w:cs="Arial"/>
              </w:rPr>
            </w:pPr>
          </w:p>
        </w:tc>
      </w:tr>
      <w:tr w:rsidR="009D4B4F" w:rsidRPr="0034077D" w14:paraId="409B09FE" w14:textId="77777777" w:rsidTr="00CC1348">
        <w:trPr>
          <w:jc w:val="center"/>
        </w:trPr>
        <w:tc>
          <w:tcPr>
            <w:tcW w:w="2127" w:type="dxa"/>
            <w:vAlign w:val="center"/>
          </w:tcPr>
          <w:p w14:paraId="0A2C5786"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w:t>
            </w:r>
            <w:proofErr w:type="spellEnd"/>
            <w:r w:rsidRPr="00E729AA">
              <w:rPr>
                <w:rFonts w:cs="Arial"/>
                <w:sz w:val="20"/>
                <w:szCs w:val="20"/>
              </w:rPr>
              <w:t>-4</w:t>
            </w:r>
            <w:r w:rsidRPr="00E729AA">
              <w:rPr>
                <w:rFonts w:cs="Arial"/>
                <w:sz w:val="20"/>
                <w:szCs w:val="20"/>
                <w:vertAlign w:val="superscript"/>
              </w:rPr>
              <w:t>1</w:t>
            </w:r>
            <w:r w:rsidRPr="00E729AA">
              <w:rPr>
                <w:rFonts w:cs="Arial"/>
                <w:sz w:val="20"/>
                <w:szCs w:val="20"/>
              </w:rPr>
              <w:t xml:space="preserve">                        </w:t>
            </w:r>
          </w:p>
        </w:tc>
        <w:tc>
          <w:tcPr>
            <w:tcW w:w="3827" w:type="dxa"/>
            <w:vAlign w:val="center"/>
          </w:tcPr>
          <w:p w14:paraId="6226731D" w14:textId="77777777" w:rsidR="009D4B4F" w:rsidRPr="00E729AA" w:rsidRDefault="009D4B4F" w:rsidP="00CC1348">
            <w:pPr>
              <w:spacing w:before="60" w:after="60" w:line="276" w:lineRule="auto"/>
              <w:jc w:val="left"/>
              <w:rPr>
                <w:rFonts w:cs="Arial"/>
                <w:i/>
                <w:iCs/>
                <w:sz w:val="20"/>
                <w:szCs w:val="20"/>
              </w:rPr>
            </w:pPr>
            <w:proofErr w:type="spellStart"/>
            <w:r w:rsidRPr="00E729AA">
              <w:rPr>
                <w:rFonts w:cs="Arial"/>
                <w:sz w:val="20"/>
                <w:szCs w:val="20"/>
              </w:rPr>
              <w:t>ttacgt</w:t>
            </w:r>
            <w:proofErr w:type="spellEnd"/>
            <w:r w:rsidRPr="00E729AA">
              <w:rPr>
                <w:rFonts w:cs="Arial"/>
                <w:sz w:val="20"/>
                <w:szCs w:val="20"/>
              </w:rPr>
              <w:t>*</w:t>
            </w:r>
            <w:proofErr w:type="spellStart"/>
            <w:r w:rsidRPr="00E729AA">
              <w:rPr>
                <w:rFonts w:cs="Arial"/>
                <w:sz w:val="20"/>
                <w:szCs w:val="20"/>
              </w:rPr>
              <w:t>tcttgatctt</w:t>
            </w:r>
            <w:proofErr w:type="spellEnd"/>
            <w:r w:rsidRPr="00E729AA">
              <w:rPr>
                <w:rFonts w:cs="Arial"/>
                <w:sz w:val="20"/>
                <w:szCs w:val="20"/>
              </w:rPr>
              <w:t>*</w:t>
            </w:r>
            <w:proofErr w:type="spellStart"/>
            <w:r w:rsidRPr="00E729AA">
              <w:rPr>
                <w:rFonts w:cs="Arial"/>
                <w:sz w:val="20"/>
                <w:szCs w:val="20"/>
              </w:rPr>
              <w:t>gtgtcattgtt</w:t>
            </w:r>
            <w:proofErr w:type="spellEnd"/>
            <w:r w:rsidRPr="00E729AA">
              <w:rPr>
                <w:rFonts w:cs="Arial"/>
                <w:sz w:val="20"/>
                <w:szCs w:val="20"/>
              </w:rPr>
              <w:t>*</w:t>
            </w:r>
            <w:proofErr w:type="spellStart"/>
            <w:r w:rsidRPr="00E729AA">
              <w:rPr>
                <w:rFonts w:cs="Arial"/>
                <w:sz w:val="20"/>
                <w:szCs w:val="20"/>
              </w:rPr>
              <w:t>cagttactgat</w:t>
            </w:r>
            <w:proofErr w:type="spellEnd"/>
            <w:r w:rsidRPr="00E729AA">
              <w:rPr>
                <w:rFonts w:cs="Arial"/>
                <w:sz w:val="20"/>
                <w:szCs w:val="20"/>
              </w:rPr>
              <w:t>*</w:t>
            </w:r>
            <w:proofErr w:type="spellStart"/>
            <w:r w:rsidRPr="00E729AA">
              <w:rPr>
                <w:rFonts w:cs="Arial"/>
                <w:sz w:val="20"/>
                <w:szCs w:val="20"/>
              </w:rPr>
              <w:t>cgcccgcaaacct</w:t>
            </w:r>
            <w:proofErr w:type="spellEnd"/>
            <w:r w:rsidRPr="00E729AA">
              <w:rPr>
                <w:rFonts w:cs="Arial"/>
                <w:sz w:val="20"/>
                <w:szCs w:val="20"/>
              </w:rPr>
              <w:t>*</w:t>
            </w:r>
          </w:p>
        </w:tc>
        <w:tc>
          <w:tcPr>
            <w:tcW w:w="3401" w:type="dxa"/>
            <w:vMerge/>
          </w:tcPr>
          <w:p w14:paraId="781B0BA7" w14:textId="77777777" w:rsidR="009D4B4F" w:rsidRPr="00E729AA" w:rsidRDefault="009D4B4F" w:rsidP="00CC1348">
            <w:pPr>
              <w:spacing w:before="60" w:after="60" w:line="276" w:lineRule="auto"/>
              <w:rPr>
                <w:rFonts w:cs="Arial"/>
              </w:rPr>
            </w:pPr>
          </w:p>
        </w:tc>
      </w:tr>
      <w:tr w:rsidR="009D4B4F" w:rsidRPr="0034077D" w14:paraId="44C7B888" w14:textId="77777777" w:rsidTr="00CC1348">
        <w:trPr>
          <w:jc w:val="center"/>
        </w:trPr>
        <w:tc>
          <w:tcPr>
            <w:tcW w:w="2127" w:type="dxa"/>
            <w:vAlign w:val="center"/>
          </w:tcPr>
          <w:p w14:paraId="16DB26B9"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w:t>
            </w:r>
            <w:proofErr w:type="spellEnd"/>
            <w:r w:rsidRPr="00E729AA">
              <w:rPr>
                <w:rFonts w:cs="Arial"/>
                <w:sz w:val="20"/>
                <w:szCs w:val="20"/>
              </w:rPr>
              <w:t>-5</w:t>
            </w:r>
            <w:r w:rsidRPr="00E729AA">
              <w:rPr>
                <w:rFonts w:cs="Arial"/>
                <w:sz w:val="20"/>
                <w:szCs w:val="20"/>
                <w:vertAlign w:val="superscript"/>
              </w:rPr>
              <w:t>1</w:t>
            </w:r>
            <w:r w:rsidRPr="00E729AA">
              <w:rPr>
                <w:rFonts w:cs="Arial"/>
                <w:sz w:val="20"/>
                <w:szCs w:val="20"/>
              </w:rPr>
              <w:t xml:space="preserve">                       </w:t>
            </w:r>
          </w:p>
        </w:tc>
        <w:tc>
          <w:tcPr>
            <w:tcW w:w="3827" w:type="dxa"/>
            <w:vAlign w:val="center"/>
          </w:tcPr>
          <w:p w14:paraId="70694BB0"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tgcat</w:t>
            </w:r>
            <w:proofErr w:type="spellEnd"/>
            <w:r w:rsidRPr="00E729AA">
              <w:rPr>
                <w:rFonts w:cs="Arial"/>
                <w:sz w:val="20"/>
                <w:szCs w:val="20"/>
              </w:rPr>
              <w:t>*</w:t>
            </w:r>
            <w:proofErr w:type="spellStart"/>
            <w:r w:rsidRPr="00E729AA">
              <w:rPr>
                <w:rFonts w:cs="Arial"/>
                <w:sz w:val="20"/>
                <w:szCs w:val="20"/>
              </w:rPr>
              <w:t>cgaaggcat</w:t>
            </w:r>
            <w:proofErr w:type="spellEnd"/>
            <w:r w:rsidRPr="00E729AA">
              <w:rPr>
                <w:rFonts w:cs="Arial"/>
                <w:sz w:val="20"/>
                <w:szCs w:val="20"/>
              </w:rPr>
              <w:t>*</w:t>
            </w:r>
            <w:proofErr w:type="spellStart"/>
            <w:r w:rsidRPr="00E729AA">
              <w:rPr>
                <w:rFonts w:cs="Arial"/>
                <w:sz w:val="20"/>
                <w:szCs w:val="20"/>
              </w:rPr>
              <w:t>taggagaagt</w:t>
            </w:r>
            <w:proofErr w:type="spellEnd"/>
            <w:r w:rsidRPr="00E729AA">
              <w:rPr>
                <w:rFonts w:cs="Arial"/>
                <w:sz w:val="20"/>
                <w:szCs w:val="20"/>
              </w:rPr>
              <w:t>*</w:t>
            </w:r>
            <w:proofErr w:type="spellStart"/>
            <w:r w:rsidRPr="00E729AA">
              <w:rPr>
                <w:rFonts w:cs="Arial"/>
                <w:sz w:val="20"/>
                <w:szCs w:val="20"/>
              </w:rPr>
              <w:t>agctgtgaat</w:t>
            </w:r>
            <w:proofErr w:type="spellEnd"/>
            <w:r w:rsidRPr="00E729AA">
              <w:rPr>
                <w:rFonts w:cs="Arial"/>
                <w:sz w:val="20"/>
                <w:szCs w:val="20"/>
              </w:rPr>
              <w:t>*</w:t>
            </w:r>
            <w:proofErr w:type="spellStart"/>
            <w:r w:rsidRPr="00E729AA">
              <w:rPr>
                <w:rFonts w:cs="Arial"/>
                <w:sz w:val="20"/>
                <w:szCs w:val="20"/>
              </w:rPr>
              <w:t>acaacaccaagat</w:t>
            </w:r>
            <w:proofErr w:type="spellEnd"/>
            <w:r w:rsidRPr="00E729AA">
              <w:rPr>
                <w:rFonts w:cs="Arial"/>
                <w:sz w:val="20"/>
                <w:szCs w:val="20"/>
              </w:rPr>
              <w:t>*</w:t>
            </w:r>
            <w:proofErr w:type="spellStart"/>
            <w:r w:rsidRPr="00E729AA">
              <w:rPr>
                <w:rFonts w:cs="Arial"/>
                <w:sz w:val="20"/>
                <w:szCs w:val="20"/>
              </w:rPr>
              <w:t>tca</w:t>
            </w:r>
            <w:proofErr w:type="spellEnd"/>
          </w:p>
        </w:tc>
        <w:tc>
          <w:tcPr>
            <w:tcW w:w="3401" w:type="dxa"/>
            <w:vMerge/>
          </w:tcPr>
          <w:p w14:paraId="12899FE4" w14:textId="77777777" w:rsidR="009D4B4F" w:rsidRPr="00E729AA" w:rsidRDefault="009D4B4F" w:rsidP="00CC1348">
            <w:pPr>
              <w:spacing w:before="60" w:after="60" w:line="276" w:lineRule="auto"/>
              <w:rPr>
                <w:rFonts w:cs="Arial"/>
                <w:sz w:val="20"/>
                <w:szCs w:val="20"/>
              </w:rPr>
            </w:pPr>
          </w:p>
        </w:tc>
      </w:tr>
      <w:tr w:rsidR="009D4B4F" w:rsidRPr="0034077D" w14:paraId="40BA2DC4" w14:textId="77777777" w:rsidTr="00CC1348">
        <w:trPr>
          <w:jc w:val="center"/>
        </w:trPr>
        <w:tc>
          <w:tcPr>
            <w:tcW w:w="2127" w:type="dxa"/>
          </w:tcPr>
          <w:p w14:paraId="3CFF16EB" w14:textId="77777777" w:rsidR="009D4B4F" w:rsidRPr="00E729AA" w:rsidRDefault="009D4B4F" w:rsidP="00CC1348">
            <w:pPr>
              <w:spacing w:before="60" w:after="60" w:line="276" w:lineRule="auto"/>
              <w:rPr>
                <w:rFonts w:cs="Arial"/>
                <w:sz w:val="20"/>
                <w:szCs w:val="20"/>
              </w:rPr>
            </w:pPr>
            <w:proofErr w:type="spellStart"/>
            <w:r w:rsidRPr="00E729AA">
              <w:rPr>
                <w:rFonts w:cs="Arial"/>
                <w:sz w:val="20"/>
                <w:szCs w:val="20"/>
              </w:rPr>
              <w:t>MS2</w:t>
            </w:r>
            <w:r w:rsidRPr="00E729AA">
              <w:rPr>
                <w:rFonts w:cs="Arial"/>
                <w:sz w:val="20"/>
                <w:szCs w:val="20"/>
                <w:vertAlign w:val="superscript"/>
              </w:rPr>
              <w:t>2</w:t>
            </w:r>
            <w:proofErr w:type="spellEnd"/>
          </w:p>
        </w:tc>
        <w:tc>
          <w:tcPr>
            <w:tcW w:w="3827" w:type="dxa"/>
          </w:tcPr>
          <w:p w14:paraId="211F0339" w14:textId="77777777" w:rsidR="009D4B4F" w:rsidRPr="00E729AA" w:rsidRDefault="009D4B4F" w:rsidP="00CC1348">
            <w:pPr>
              <w:spacing w:before="60" w:after="60" w:line="276" w:lineRule="auto"/>
              <w:rPr>
                <w:rFonts w:cs="Arial"/>
                <w:sz w:val="20"/>
                <w:szCs w:val="20"/>
              </w:rPr>
            </w:pPr>
            <w:r w:rsidRPr="00E729AA">
              <w:rPr>
                <w:rFonts w:cs="Arial"/>
                <w:sz w:val="20"/>
                <w:szCs w:val="20"/>
              </w:rPr>
              <w:t>t*</w:t>
            </w:r>
            <w:proofErr w:type="spellStart"/>
            <w:r w:rsidRPr="00E729AA">
              <w:rPr>
                <w:rFonts w:cs="Arial"/>
                <w:sz w:val="20"/>
                <w:szCs w:val="20"/>
              </w:rPr>
              <w:t>gggtgatcctcatgtt</w:t>
            </w:r>
            <w:proofErr w:type="spellEnd"/>
            <w:r w:rsidRPr="00E729AA">
              <w:rPr>
                <w:rFonts w:cs="Arial"/>
                <w:sz w:val="20"/>
                <w:szCs w:val="20"/>
              </w:rPr>
              <w:t>*</w:t>
            </w:r>
            <w:proofErr w:type="spellStart"/>
            <w:r w:rsidRPr="00E729AA">
              <w:rPr>
                <w:rFonts w:cs="Arial"/>
                <w:sz w:val="20"/>
                <w:szCs w:val="20"/>
              </w:rPr>
              <w:t>ttctagagtcgacgt</w:t>
            </w:r>
            <w:proofErr w:type="spellEnd"/>
            <w:r w:rsidRPr="00E729AA">
              <w:rPr>
                <w:rFonts w:cs="Arial"/>
                <w:sz w:val="20"/>
                <w:szCs w:val="20"/>
              </w:rPr>
              <w:t>*</w:t>
            </w:r>
            <w:proofErr w:type="spellStart"/>
            <w:r w:rsidRPr="00E729AA">
              <w:rPr>
                <w:rFonts w:cs="Arial"/>
                <w:sz w:val="20"/>
                <w:szCs w:val="20"/>
              </w:rPr>
              <w:t>gcagacatgggtgatcct</w:t>
            </w:r>
            <w:proofErr w:type="spellEnd"/>
            <w:r w:rsidRPr="00E729AA">
              <w:rPr>
                <w:rFonts w:cs="Arial"/>
                <w:sz w:val="20"/>
                <w:szCs w:val="20"/>
              </w:rPr>
              <w:t>*cat</w:t>
            </w:r>
          </w:p>
        </w:tc>
        <w:tc>
          <w:tcPr>
            <w:tcW w:w="3401" w:type="dxa"/>
          </w:tcPr>
          <w:p w14:paraId="3DCB70FB" w14:textId="77777777" w:rsidR="009D4B4F" w:rsidRPr="00E729AA" w:rsidRDefault="009D4B4F" w:rsidP="00CC1348">
            <w:pPr>
              <w:spacing w:before="60" w:after="60" w:line="276" w:lineRule="auto"/>
              <w:jc w:val="left"/>
              <w:rPr>
                <w:rFonts w:cs="Arial"/>
                <w:sz w:val="20"/>
                <w:szCs w:val="20"/>
              </w:rPr>
            </w:pPr>
            <w:r w:rsidRPr="00E729AA">
              <w:rPr>
                <w:rFonts w:cs="Arial"/>
                <w:sz w:val="20"/>
                <w:szCs w:val="20"/>
              </w:rPr>
              <w:t xml:space="preserve">Oligonucleotide </w:t>
            </w:r>
            <w:proofErr w:type="spellStart"/>
            <w:r w:rsidRPr="00E729AA">
              <w:rPr>
                <w:rFonts w:cs="Arial"/>
                <w:sz w:val="20"/>
                <w:szCs w:val="20"/>
              </w:rPr>
              <w:t>MS2</w:t>
            </w:r>
            <w:proofErr w:type="spellEnd"/>
            <w:r w:rsidRPr="00E729AA">
              <w:rPr>
                <w:rFonts w:cs="Arial"/>
                <w:sz w:val="20"/>
                <w:szCs w:val="20"/>
              </w:rPr>
              <w:t>-specific FISH probe</w:t>
            </w:r>
          </w:p>
        </w:tc>
      </w:tr>
      <w:tr w:rsidR="009D4B4F" w:rsidRPr="00E729AA" w14:paraId="1707D8BF" w14:textId="77777777" w:rsidTr="00CC1348">
        <w:trPr>
          <w:jc w:val="center"/>
        </w:trPr>
        <w:tc>
          <w:tcPr>
            <w:tcW w:w="9355" w:type="dxa"/>
            <w:gridSpan w:val="3"/>
            <w:shd w:val="clear" w:color="auto" w:fill="D9D9D9" w:themeFill="background1" w:themeFillShade="D9"/>
          </w:tcPr>
          <w:p w14:paraId="417A9736" w14:textId="77777777" w:rsidR="009D4B4F" w:rsidRPr="00E729AA" w:rsidRDefault="009D4B4F" w:rsidP="00CC1348">
            <w:pPr>
              <w:spacing w:before="60" w:after="60" w:line="276" w:lineRule="auto"/>
              <w:jc w:val="center"/>
              <w:rPr>
                <w:rFonts w:cs="Arial"/>
                <w:sz w:val="20"/>
                <w:szCs w:val="20"/>
              </w:rPr>
            </w:pPr>
            <w:r w:rsidRPr="00E729AA">
              <w:rPr>
                <w:rFonts w:cs="Arial"/>
                <w:b/>
                <w:bCs/>
                <w:i/>
                <w:iCs/>
                <w:sz w:val="20"/>
                <w:szCs w:val="20"/>
              </w:rPr>
              <w:t>RT-</w:t>
            </w:r>
            <w:proofErr w:type="spellStart"/>
            <w:r>
              <w:rPr>
                <w:rFonts w:cs="Arial"/>
                <w:b/>
                <w:bCs/>
                <w:i/>
                <w:iCs/>
                <w:sz w:val="20"/>
                <w:szCs w:val="20"/>
              </w:rPr>
              <w:t>ddPCR</w:t>
            </w:r>
            <w:proofErr w:type="spellEnd"/>
            <w:r>
              <w:rPr>
                <w:rFonts w:cs="Arial"/>
                <w:b/>
                <w:bCs/>
                <w:i/>
                <w:iCs/>
                <w:sz w:val="20"/>
                <w:szCs w:val="20"/>
              </w:rPr>
              <w:t>, qPCR</w:t>
            </w:r>
          </w:p>
        </w:tc>
      </w:tr>
      <w:tr w:rsidR="009D4B4F" w:rsidRPr="00E729AA" w14:paraId="111F45BC" w14:textId="77777777" w:rsidTr="00CC1348">
        <w:trPr>
          <w:jc w:val="center"/>
        </w:trPr>
        <w:tc>
          <w:tcPr>
            <w:tcW w:w="2127" w:type="dxa"/>
            <w:vAlign w:val="center"/>
          </w:tcPr>
          <w:p w14:paraId="2312E0F8"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TLC1.AB.qsc.F3</w:t>
            </w:r>
            <w:proofErr w:type="spellEnd"/>
          </w:p>
        </w:tc>
        <w:tc>
          <w:tcPr>
            <w:tcW w:w="3827" w:type="dxa"/>
            <w:vAlign w:val="center"/>
          </w:tcPr>
          <w:p w14:paraId="264D4BCF"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ccaagcggaaggaaccgtgt</w:t>
            </w:r>
            <w:proofErr w:type="spellEnd"/>
          </w:p>
        </w:tc>
        <w:tc>
          <w:tcPr>
            <w:tcW w:w="3401" w:type="dxa"/>
            <w:vMerge w:val="restart"/>
            <w:vAlign w:val="center"/>
          </w:tcPr>
          <w:p w14:paraId="7E620323" w14:textId="77777777" w:rsidR="009D4B4F" w:rsidRPr="00E729AA" w:rsidRDefault="009D4B4F" w:rsidP="00CC1348">
            <w:pPr>
              <w:spacing w:before="60" w:after="60" w:line="276" w:lineRule="auto"/>
              <w:jc w:val="left"/>
              <w:rPr>
                <w:rFonts w:cs="Arial"/>
                <w:sz w:val="20"/>
                <w:szCs w:val="20"/>
              </w:rPr>
            </w:pPr>
            <w:r w:rsidRPr="00E729AA">
              <w:rPr>
                <w:rFonts w:cs="Arial"/>
                <w:sz w:val="20"/>
                <w:szCs w:val="20"/>
              </w:rPr>
              <w:t xml:space="preserve">To detect untagged </w:t>
            </w:r>
            <w:proofErr w:type="spellStart"/>
            <w:r w:rsidRPr="00E729AA">
              <w:rPr>
                <w:rFonts w:cs="Arial"/>
                <w:sz w:val="20"/>
                <w:szCs w:val="20"/>
              </w:rPr>
              <w:t>TLC1</w:t>
            </w:r>
            <w:proofErr w:type="spellEnd"/>
          </w:p>
        </w:tc>
      </w:tr>
      <w:tr w:rsidR="009D4B4F" w:rsidRPr="00E729AA" w14:paraId="5CF758CB" w14:textId="77777777" w:rsidTr="00CC1348">
        <w:trPr>
          <w:jc w:val="center"/>
        </w:trPr>
        <w:tc>
          <w:tcPr>
            <w:tcW w:w="2127" w:type="dxa"/>
            <w:vAlign w:val="center"/>
          </w:tcPr>
          <w:p w14:paraId="77C3060D"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TLC1.A.lna.qsc.R4</w:t>
            </w:r>
            <w:proofErr w:type="spellEnd"/>
          </w:p>
        </w:tc>
        <w:tc>
          <w:tcPr>
            <w:tcW w:w="3827" w:type="dxa"/>
            <w:vAlign w:val="center"/>
          </w:tcPr>
          <w:p w14:paraId="0FCC08E0"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c</w:t>
            </w:r>
            <w:r>
              <w:rPr>
                <w:rFonts w:cs="Arial"/>
                <w:sz w:val="20"/>
                <w:szCs w:val="20"/>
              </w:rPr>
              <w:t>^</w:t>
            </w:r>
            <w:r w:rsidRPr="00E729AA">
              <w:rPr>
                <w:rFonts w:cs="Arial"/>
                <w:sz w:val="20"/>
                <w:szCs w:val="20"/>
              </w:rPr>
              <w:t>c</w:t>
            </w:r>
            <w:r>
              <w:rPr>
                <w:rFonts w:cs="Arial"/>
                <w:sz w:val="20"/>
                <w:szCs w:val="20"/>
              </w:rPr>
              <w:t>^</w:t>
            </w:r>
            <w:r w:rsidRPr="00E729AA">
              <w:rPr>
                <w:rFonts w:cs="Arial"/>
                <w:sz w:val="20"/>
                <w:szCs w:val="20"/>
              </w:rPr>
              <w:t>aa</w:t>
            </w:r>
            <w:r>
              <w:rPr>
                <w:rFonts w:cs="Arial"/>
                <w:sz w:val="20"/>
                <w:szCs w:val="20"/>
              </w:rPr>
              <w:t>^</w:t>
            </w:r>
            <w:r w:rsidRPr="00E729AA">
              <w:rPr>
                <w:rFonts w:cs="Arial"/>
                <w:sz w:val="20"/>
                <w:szCs w:val="20"/>
              </w:rPr>
              <w:t>a</w:t>
            </w:r>
            <w:r>
              <w:rPr>
                <w:rFonts w:cs="Arial"/>
                <w:sz w:val="20"/>
                <w:szCs w:val="20"/>
              </w:rPr>
              <w:t>^</w:t>
            </w:r>
            <w:r w:rsidRPr="00E729AA">
              <w:rPr>
                <w:rFonts w:cs="Arial"/>
                <w:sz w:val="20"/>
                <w:szCs w:val="20"/>
              </w:rPr>
              <w:t>aa</w:t>
            </w:r>
            <w:r>
              <w:rPr>
                <w:rFonts w:cs="Arial"/>
                <w:sz w:val="20"/>
                <w:szCs w:val="20"/>
              </w:rPr>
              <w:t>^</w:t>
            </w:r>
            <w:r w:rsidRPr="00E729AA">
              <w:rPr>
                <w:rFonts w:cs="Arial"/>
                <w:sz w:val="20"/>
                <w:szCs w:val="20"/>
              </w:rPr>
              <w:t>ttatctaaatgcatataac</w:t>
            </w:r>
            <w:proofErr w:type="spellEnd"/>
          </w:p>
        </w:tc>
        <w:tc>
          <w:tcPr>
            <w:tcW w:w="3401" w:type="dxa"/>
            <w:vMerge/>
          </w:tcPr>
          <w:p w14:paraId="217D3F6F" w14:textId="77777777" w:rsidR="009D4B4F" w:rsidRPr="00E729AA" w:rsidRDefault="009D4B4F" w:rsidP="00CC1348">
            <w:pPr>
              <w:spacing w:before="60" w:after="60" w:line="276" w:lineRule="auto"/>
              <w:jc w:val="left"/>
              <w:rPr>
                <w:rFonts w:cs="Arial"/>
                <w:sz w:val="20"/>
                <w:szCs w:val="20"/>
              </w:rPr>
            </w:pPr>
          </w:p>
        </w:tc>
      </w:tr>
      <w:tr w:rsidR="009D4B4F" w:rsidRPr="0034077D" w14:paraId="446B639F" w14:textId="77777777" w:rsidTr="00CC1348">
        <w:trPr>
          <w:jc w:val="center"/>
        </w:trPr>
        <w:tc>
          <w:tcPr>
            <w:tcW w:w="2127" w:type="dxa"/>
            <w:vAlign w:val="center"/>
          </w:tcPr>
          <w:p w14:paraId="18164AED" w14:textId="77777777" w:rsidR="009D4B4F" w:rsidRPr="00E729AA" w:rsidRDefault="009D4B4F" w:rsidP="00CC1348">
            <w:pPr>
              <w:spacing w:before="60" w:after="60" w:line="276" w:lineRule="auto"/>
              <w:jc w:val="left"/>
              <w:rPr>
                <w:rFonts w:cs="Arial"/>
                <w:sz w:val="20"/>
                <w:szCs w:val="20"/>
              </w:rPr>
            </w:pPr>
            <w:proofErr w:type="spellStart"/>
            <w:r w:rsidRPr="009927D3">
              <w:rPr>
                <w:rFonts w:cs="Arial"/>
                <w:sz w:val="20"/>
                <w:szCs w:val="20"/>
              </w:rPr>
              <w:t>TLC1.B.qsc.R1</w:t>
            </w:r>
            <w:proofErr w:type="spellEnd"/>
          </w:p>
        </w:tc>
        <w:tc>
          <w:tcPr>
            <w:tcW w:w="3827" w:type="dxa"/>
            <w:vAlign w:val="center"/>
          </w:tcPr>
          <w:p w14:paraId="2A451E25" w14:textId="77777777" w:rsidR="009D4B4F" w:rsidRPr="00E729AA" w:rsidRDefault="009D4B4F" w:rsidP="00CC1348">
            <w:pPr>
              <w:spacing w:before="60" w:after="60" w:line="276" w:lineRule="auto"/>
              <w:jc w:val="left"/>
              <w:rPr>
                <w:rFonts w:cs="Arial"/>
                <w:sz w:val="20"/>
                <w:szCs w:val="20"/>
              </w:rPr>
            </w:pPr>
            <w:proofErr w:type="spellStart"/>
            <w:r w:rsidRPr="009927D3">
              <w:rPr>
                <w:rFonts w:cs="Arial"/>
                <w:sz w:val="20"/>
                <w:szCs w:val="20"/>
              </w:rPr>
              <w:t>gtgatcctcatgtttctggccatataac</w:t>
            </w:r>
            <w:proofErr w:type="spellEnd"/>
          </w:p>
        </w:tc>
        <w:tc>
          <w:tcPr>
            <w:tcW w:w="3401" w:type="dxa"/>
            <w:vAlign w:val="center"/>
          </w:tcPr>
          <w:p w14:paraId="38A24630" w14:textId="77777777" w:rsidR="009D4B4F" w:rsidRPr="00E729AA" w:rsidRDefault="009D4B4F" w:rsidP="00CC1348">
            <w:pPr>
              <w:spacing w:before="60" w:after="60" w:line="276" w:lineRule="auto"/>
              <w:jc w:val="left"/>
              <w:rPr>
                <w:rFonts w:cs="Arial"/>
                <w:sz w:val="20"/>
                <w:szCs w:val="20"/>
              </w:rPr>
            </w:pPr>
            <w:r w:rsidRPr="00E729AA">
              <w:rPr>
                <w:rFonts w:cs="Arial"/>
                <w:sz w:val="20"/>
                <w:szCs w:val="20"/>
              </w:rPr>
              <w:t xml:space="preserve">To detect tagged </w:t>
            </w:r>
            <w:proofErr w:type="spellStart"/>
            <w:r w:rsidRPr="00E729AA">
              <w:rPr>
                <w:rFonts w:cs="Arial"/>
                <w:sz w:val="20"/>
                <w:szCs w:val="20"/>
              </w:rPr>
              <w:t>TLC1-MS2</w:t>
            </w:r>
            <w:proofErr w:type="spellEnd"/>
            <w:r w:rsidRPr="00E729AA">
              <w:rPr>
                <w:rFonts w:cs="Arial"/>
                <w:sz w:val="20"/>
                <w:szCs w:val="20"/>
              </w:rPr>
              <w:t xml:space="preserve"> (with </w:t>
            </w:r>
            <w:proofErr w:type="spellStart"/>
            <w:r w:rsidRPr="00E729AA">
              <w:rPr>
                <w:rFonts w:cs="Arial"/>
                <w:sz w:val="20"/>
                <w:szCs w:val="20"/>
              </w:rPr>
              <w:t>TLC1.AB.qsc.F3</w:t>
            </w:r>
            <w:proofErr w:type="spellEnd"/>
            <w:r w:rsidRPr="00E729AA">
              <w:rPr>
                <w:rFonts w:cs="Arial"/>
                <w:sz w:val="20"/>
                <w:szCs w:val="20"/>
              </w:rPr>
              <w:t>)</w:t>
            </w:r>
          </w:p>
        </w:tc>
      </w:tr>
      <w:tr w:rsidR="009D4B4F" w:rsidRPr="00E729AA" w14:paraId="32AAC106" w14:textId="77777777" w:rsidTr="00CC1348">
        <w:trPr>
          <w:jc w:val="center"/>
        </w:trPr>
        <w:tc>
          <w:tcPr>
            <w:tcW w:w="2127" w:type="dxa"/>
            <w:vAlign w:val="center"/>
          </w:tcPr>
          <w:p w14:paraId="66D9AFD7" w14:textId="77777777" w:rsidR="009D4B4F" w:rsidRPr="00E729AA" w:rsidRDefault="009D4B4F" w:rsidP="00CC1348">
            <w:pPr>
              <w:spacing w:before="60" w:after="60" w:line="276" w:lineRule="auto"/>
              <w:jc w:val="left"/>
              <w:rPr>
                <w:rFonts w:cs="Arial"/>
                <w:sz w:val="20"/>
                <w:szCs w:val="20"/>
              </w:rPr>
            </w:pPr>
            <w:bookmarkStart w:id="0" w:name="_Hlk40965150"/>
            <w:proofErr w:type="spellStart"/>
            <w:r w:rsidRPr="00E729AA">
              <w:rPr>
                <w:rFonts w:cs="Arial"/>
                <w:sz w:val="20"/>
                <w:szCs w:val="20"/>
              </w:rPr>
              <w:t>TLC1.AB.qsc.F1</w:t>
            </w:r>
            <w:proofErr w:type="spellEnd"/>
          </w:p>
        </w:tc>
        <w:tc>
          <w:tcPr>
            <w:tcW w:w="3827" w:type="dxa"/>
            <w:vAlign w:val="center"/>
          </w:tcPr>
          <w:p w14:paraId="483BA638" w14:textId="77777777" w:rsidR="009D4B4F" w:rsidRPr="00E729AA" w:rsidRDefault="009D4B4F" w:rsidP="00CC1348">
            <w:pPr>
              <w:spacing w:before="60" w:after="60" w:line="276" w:lineRule="auto"/>
              <w:jc w:val="left"/>
              <w:rPr>
                <w:rFonts w:cs="Arial"/>
                <w:sz w:val="20"/>
                <w:szCs w:val="20"/>
              </w:rPr>
            </w:pPr>
            <w:proofErr w:type="spellStart"/>
            <w:r w:rsidRPr="00E729AA">
              <w:rPr>
                <w:rFonts w:cs="Arial"/>
                <w:sz w:val="20"/>
                <w:szCs w:val="20"/>
              </w:rPr>
              <w:t>cggttaggtttgcgggcgat</w:t>
            </w:r>
            <w:proofErr w:type="spellEnd"/>
          </w:p>
        </w:tc>
        <w:tc>
          <w:tcPr>
            <w:tcW w:w="3401" w:type="dxa"/>
            <w:vMerge w:val="restart"/>
            <w:vAlign w:val="center"/>
          </w:tcPr>
          <w:p w14:paraId="33648763" w14:textId="77777777" w:rsidR="009D4B4F" w:rsidRPr="00E729AA" w:rsidRDefault="009D4B4F" w:rsidP="00CC1348">
            <w:pPr>
              <w:spacing w:before="60" w:after="60" w:line="276" w:lineRule="auto"/>
              <w:jc w:val="left"/>
              <w:rPr>
                <w:rFonts w:cs="Arial"/>
                <w:sz w:val="20"/>
                <w:szCs w:val="20"/>
              </w:rPr>
            </w:pPr>
            <w:r w:rsidRPr="00E729AA">
              <w:rPr>
                <w:rFonts w:cs="Arial"/>
                <w:sz w:val="20"/>
                <w:szCs w:val="20"/>
              </w:rPr>
              <w:t xml:space="preserve">To detect total </w:t>
            </w:r>
            <w:proofErr w:type="spellStart"/>
            <w:r w:rsidRPr="00E729AA">
              <w:rPr>
                <w:rFonts w:cs="Arial"/>
                <w:sz w:val="20"/>
                <w:szCs w:val="20"/>
              </w:rPr>
              <w:t>TLC1</w:t>
            </w:r>
            <w:proofErr w:type="spellEnd"/>
          </w:p>
        </w:tc>
      </w:tr>
      <w:tr w:rsidR="009D4B4F" w:rsidRPr="00E729AA" w14:paraId="65C58681" w14:textId="77777777" w:rsidTr="00CC1348">
        <w:trPr>
          <w:jc w:val="center"/>
        </w:trPr>
        <w:tc>
          <w:tcPr>
            <w:tcW w:w="2127" w:type="dxa"/>
            <w:vAlign w:val="center"/>
          </w:tcPr>
          <w:p w14:paraId="5BBBD7C6" w14:textId="77777777" w:rsidR="009D4B4F" w:rsidRPr="004D7467" w:rsidRDefault="009D4B4F" w:rsidP="00CC1348">
            <w:pPr>
              <w:spacing w:before="60" w:after="60" w:line="276" w:lineRule="auto"/>
              <w:jc w:val="left"/>
              <w:rPr>
                <w:rFonts w:cs="Arial"/>
                <w:sz w:val="20"/>
                <w:szCs w:val="20"/>
              </w:rPr>
            </w:pPr>
            <w:proofErr w:type="spellStart"/>
            <w:r w:rsidRPr="004D7467">
              <w:rPr>
                <w:rFonts w:cs="Arial"/>
                <w:sz w:val="20"/>
                <w:szCs w:val="20"/>
              </w:rPr>
              <w:t>TLC1.AB.qsc.R1</w:t>
            </w:r>
            <w:proofErr w:type="spellEnd"/>
          </w:p>
        </w:tc>
        <w:tc>
          <w:tcPr>
            <w:tcW w:w="3827" w:type="dxa"/>
            <w:vAlign w:val="center"/>
          </w:tcPr>
          <w:p w14:paraId="5051A38A" w14:textId="77777777" w:rsidR="009D4B4F" w:rsidRPr="004D7467" w:rsidRDefault="009D4B4F" w:rsidP="00CC1348">
            <w:pPr>
              <w:spacing w:before="60" w:after="60" w:line="276" w:lineRule="auto"/>
              <w:jc w:val="left"/>
              <w:rPr>
                <w:rFonts w:cs="Arial"/>
                <w:sz w:val="20"/>
                <w:szCs w:val="20"/>
              </w:rPr>
            </w:pPr>
            <w:proofErr w:type="spellStart"/>
            <w:r w:rsidRPr="004D7467">
              <w:rPr>
                <w:rFonts w:cs="Arial"/>
                <w:sz w:val="20"/>
                <w:szCs w:val="20"/>
              </w:rPr>
              <w:t>acacggttccttccgcttgg</w:t>
            </w:r>
            <w:proofErr w:type="spellEnd"/>
          </w:p>
        </w:tc>
        <w:tc>
          <w:tcPr>
            <w:tcW w:w="3401" w:type="dxa"/>
            <w:vMerge/>
          </w:tcPr>
          <w:p w14:paraId="66FBD273" w14:textId="77777777" w:rsidR="009D4B4F" w:rsidRPr="00E729AA" w:rsidRDefault="009D4B4F" w:rsidP="00CC1348">
            <w:pPr>
              <w:rPr>
                <w:rFonts w:cs="Arial"/>
              </w:rPr>
            </w:pPr>
          </w:p>
        </w:tc>
      </w:tr>
      <w:tr w:rsidR="009D4B4F" w:rsidRPr="00E729AA" w14:paraId="22C49147" w14:textId="77777777" w:rsidTr="00CC1348">
        <w:trPr>
          <w:jc w:val="center"/>
        </w:trPr>
        <w:tc>
          <w:tcPr>
            <w:tcW w:w="2127" w:type="dxa"/>
            <w:vAlign w:val="center"/>
          </w:tcPr>
          <w:p w14:paraId="65C5DEF3" w14:textId="77777777" w:rsidR="009D4B4F" w:rsidRPr="004D7467" w:rsidRDefault="009D4B4F" w:rsidP="00CC1348">
            <w:pPr>
              <w:spacing w:before="60" w:after="60" w:line="276" w:lineRule="auto"/>
              <w:jc w:val="left"/>
              <w:rPr>
                <w:rFonts w:cs="Arial"/>
                <w:sz w:val="20"/>
                <w:szCs w:val="20"/>
              </w:rPr>
            </w:pPr>
            <w:proofErr w:type="spellStart"/>
            <w:r w:rsidRPr="00B56A98">
              <w:rPr>
                <w:rFonts w:cs="Arial"/>
                <w:sz w:val="20"/>
                <w:szCs w:val="20"/>
              </w:rPr>
              <w:t>TLC1_G_for1</w:t>
            </w:r>
            <w:proofErr w:type="spellEnd"/>
          </w:p>
        </w:tc>
        <w:tc>
          <w:tcPr>
            <w:tcW w:w="3827" w:type="dxa"/>
            <w:vAlign w:val="center"/>
          </w:tcPr>
          <w:p w14:paraId="7306F32E" w14:textId="77777777" w:rsidR="009D4B4F" w:rsidRPr="004D7467" w:rsidRDefault="009D4B4F" w:rsidP="00CC1348">
            <w:pPr>
              <w:spacing w:before="60" w:after="60" w:line="276" w:lineRule="auto"/>
              <w:jc w:val="left"/>
              <w:rPr>
                <w:rFonts w:cs="Arial"/>
                <w:sz w:val="20"/>
                <w:szCs w:val="20"/>
              </w:rPr>
            </w:pPr>
            <w:proofErr w:type="spellStart"/>
            <w:r w:rsidRPr="00B56A98">
              <w:rPr>
                <w:rFonts w:cs="Arial"/>
                <w:sz w:val="20"/>
                <w:szCs w:val="20"/>
              </w:rPr>
              <w:t>ttaggtttgcgggcgatcagt</w:t>
            </w:r>
            <w:proofErr w:type="spellEnd"/>
          </w:p>
        </w:tc>
        <w:tc>
          <w:tcPr>
            <w:tcW w:w="3401" w:type="dxa"/>
            <w:vMerge w:val="restart"/>
            <w:vAlign w:val="center"/>
          </w:tcPr>
          <w:p w14:paraId="6CAC22EB" w14:textId="77777777" w:rsidR="009D4B4F" w:rsidRPr="00B56A98" w:rsidRDefault="009D4B4F" w:rsidP="00CC1348">
            <w:pPr>
              <w:rPr>
                <w:sz w:val="20"/>
                <w:szCs w:val="20"/>
              </w:rPr>
            </w:pPr>
            <w:r w:rsidRPr="00B56A98">
              <w:rPr>
                <w:sz w:val="20"/>
                <w:szCs w:val="20"/>
              </w:rPr>
              <w:t xml:space="preserve">For </w:t>
            </w:r>
            <w:proofErr w:type="spellStart"/>
            <w:r w:rsidRPr="00B56A98">
              <w:rPr>
                <w:sz w:val="20"/>
                <w:szCs w:val="20"/>
              </w:rPr>
              <w:t>ChIP</w:t>
            </w:r>
            <w:proofErr w:type="spellEnd"/>
            <w:r w:rsidRPr="00B56A98">
              <w:rPr>
                <w:sz w:val="20"/>
                <w:szCs w:val="20"/>
              </w:rPr>
              <w:t xml:space="preserve"> at the </w:t>
            </w:r>
            <w:proofErr w:type="spellStart"/>
            <w:r w:rsidRPr="00B56A98">
              <w:rPr>
                <w:i/>
                <w:iCs/>
                <w:sz w:val="20"/>
                <w:szCs w:val="20"/>
              </w:rPr>
              <w:t>TLC1</w:t>
            </w:r>
            <w:proofErr w:type="spellEnd"/>
            <w:r w:rsidRPr="00B56A98">
              <w:rPr>
                <w:sz w:val="20"/>
                <w:szCs w:val="20"/>
              </w:rPr>
              <w:t xml:space="preserve"> locus</w:t>
            </w:r>
          </w:p>
        </w:tc>
      </w:tr>
      <w:tr w:rsidR="009D4B4F" w:rsidRPr="00E729AA" w14:paraId="460A3F70" w14:textId="77777777" w:rsidTr="00CC1348">
        <w:trPr>
          <w:jc w:val="center"/>
        </w:trPr>
        <w:tc>
          <w:tcPr>
            <w:tcW w:w="2127" w:type="dxa"/>
            <w:vAlign w:val="center"/>
          </w:tcPr>
          <w:p w14:paraId="6A0606AA" w14:textId="77777777" w:rsidR="009D4B4F" w:rsidRPr="004D7467" w:rsidRDefault="009D4B4F" w:rsidP="00CC1348">
            <w:pPr>
              <w:spacing w:before="60" w:after="60" w:line="276" w:lineRule="auto"/>
              <w:jc w:val="left"/>
              <w:rPr>
                <w:rFonts w:cs="Arial"/>
                <w:sz w:val="20"/>
                <w:szCs w:val="20"/>
              </w:rPr>
            </w:pPr>
            <w:proofErr w:type="spellStart"/>
            <w:r w:rsidRPr="00B56A98">
              <w:rPr>
                <w:rFonts w:cs="Arial"/>
                <w:sz w:val="20"/>
                <w:szCs w:val="20"/>
              </w:rPr>
              <w:t>TLC1_G_rev1</w:t>
            </w:r>
            <w:proofErr w:type="spellEnd"/>
          </w:p>
        </w:tc>
        <w:tc>
          <w:tcPr>
            <w:tcW w:w="3827" w:type="dxa"/>
            <w:vAlign w:val="center"/>
          </w:tcPr>
          <w:p w14:paraId="043A989B" w14:textId="77777777" w:rsidR="009D4B4F" w:rsidRPr="004D7467" w:rsidRDefault="009D4B4F" w:rsidP="00CC1348">
            <w:pPr>
              <w:spacing w:before="60" w:after="60" w:line="276" w:lineRule="auto"/>
              <w:jc w:val="left"/>
              <w:rPr>
                <w:rFonts w:cs="Arial"/>
                <w:sz w:val="20"/>
                <w:szCs w:val="20"/>
              </w:rPr>
            </w:pPr>
            <w:proofErr w:type="spellStart"/>
            <w:r w:rsidRPr="00B56A98">
              <w:rPr>
                <w:rFonts w:cs="Arial"/>
                <w:sz w:val="20"/>
                <w:szCs w:val="20"/>
              </w:rPr>
              <w:t>acggttccttccgcttggaaa</w:t>
            </w:r>
            <w:proofErr w:type="spellEnd"/>
          </w:p>
        </w:tc>
        <w:tc>
          <w:tcPr>
            <w:tcW w:w="3401" w:type="dxa"/>
            <w:vMerge/>
          </w:tcPr>
          <w:p w14:paraId="56FD148D" w14:textId="77777777" w:rsidR="009D4B4F" w:rsidRPr="00E729AA" w:rsidRDefault="009D4B4F" w:rsidP="00CC1348">
            <w:pPr>
              <w:rPr>
                <w:rFonts w:cs="Arial"/>
              </w:rPr>
            </w:pPr>
          </w:p>
        </w:tc>
      </w:tr>
      <w:tr w:rsidR="009D4B4F" w:rsidRPr="00E729AA" w14:paraId="79356F9A" w14:textId="77777777" w:rsidTr="00CC1348">
        <w:trPr>
          <w:jc w:val="center"/>
        </w:trPr>
        <w:tc>
          <w:tcPr>
            <w:tcW w:w="2127" w:type="dxa"/>
            <w:vAlign w:val="center"/>
          </w:tcPr>
          <w:p w14:paraId="123079D7" w14:textId="77777777" w:rsidR="009D4B4F" w:rsidRPr="004D7467" w:rsidRDefault="009D4B4F" w:rsidP="00CC1348">
            <w:pPr>
              <w:spacing w:before="60" w:after="60" w:line="276" w:lineRule="auto"/>
              <w:jc w:val="left"/>
              <w:rPr>
                <w:rFonts w:cs="Arial"/>
                <w:sz w:val="20"/>
                <w:szCs w:val="20"/>
              </w:rPr>
            </w:pPr>
            <w:proofErr w:type="spellStart"/>
            <w:r w:rsidRPr="001929D6">
              <w:rPr>
                <w:rFonts w:cs="Arial"/>
                <w:sz w:val="20"/>
                <w:szCs w:val="20"/>
              </w:rPr>
              <w:t>U1</w:t>
            </w:r>
            <w:proofErr w:type="spellEnd"/>
            <w:r w:rsidRPr="001929D6">
              <w:rPr>
                <w:rFonts w:cs="Arial"/>
                <w:sz w:val="20"/>
                <w:szCs w:val="20"/>
              </w:rPr>
              <w:t xml:space="preserve"> RT </w:t>
            </w:r>
            <w:proofErr w:type="spellStart"/>
            <w:r w:rsidRPr="001929D6">
              <w:rPr>
                <w:rFonts w:cs="Arial"/>
                <w:sz w:val="20"/>
                <w:szCs w:val="20"/>
              </w:rPr>
              <w:t>F2</w:t>
            </w:r>
            <w:proofErr w:type="spellEnd"/>
          </w:p>
        </w:tc>
        <w:tc>
          <w:tcPr>
            <w:tcW w:w="3827" w:type="dxa"/>
            <w:vAlign w:val="center"/>
          </w:tcPr>
          <w:p w14:paraId="68BEF1E3" w14:textId="77777777" w:rsidR="009D4B4F" w:rsidRPr="004D7467" w:rsidRDefault="009D4B4F" w:rsidP="00CC1348">
            <w:pPr>
              <w:spacing w:before="60" w:after="60" w:line="276" w:lineRule="auto"/>
              <w:jc w:val="left"/>
              <w:rPr>
                <w:rFonts w:cs="Arial"/>
                <w:sz w:val="20"/>
                <w:szCs w:val="20"/>
              </w:rPr>
            </w:pPr>
            <w:proofErr w:type="spellStart"/>
            <w:r w:rsidRPr="001929D6">
              <w:rPr>
                <w:rFonts w:cs="Arial"/>
                <w:sz w:val="20"/>
                <w:szCs w:val="20"/>
              </w:rPr>
              <w:t>ttggtcacacacacatacgg</w:t>
            </w:r>
            <w:proofErr w:type="spellEnd"/>
          </w:p>
        </w:tc>
        <w:tc>
          <w:tcPr>
            <w:tcW w:w="3401" w:type="dxa"/>
            <w:vMerge w:val="restart"/>
            <w:vAlign w:val="center"/>
          </w:tcPr>
          <w:p w14:paraId="005287EE" w14:textId="77777777" w:rsidR="009D4B4F" w:rsidRPr="00E729AA" w:rsidRDefault="009D4B4F" w:rsidP="00CC1348">
            <w:pPr>
              <w:rPr>
                <w:rFonts w:cs="Arial"/>
              </w:rPr>
            </w:pPr>
            <w:r w:rsidRPr="00B56A98">
              <w:rPr>
                <w:sz w:val="20"/>
                <w:szCs w:val="20"/>
              </w:rPr>
              <w:t xml:space="preserve">For </w:t>
            </w:r>
            <w:proofErr w:type="spellStart"/>
            <w:r w:rsidRPr="00B56A98">
              <w:rPr>
                <w:sz w:val="20"/>
                <w:szCs w:val="20"/>
              </w:rPr>
              <w:t>ChIP</w:t>
            </w:r>
            <w:proofErr w:type="spellEnd"/>
            <w:r w:rsidRPr="00B56A98">
              <w:rPr>
                <w:sz w:val="20"/>
                <w:szCs w:val="20"/>
              </w:rPr>
              <w:t xml:space="preserve"> at the </w:t>
            </w:r>
            <w:proofErr w:type="spellStart"/>
            <w:r>
              <w:rPr>
                <w:i/>
                <w:iCs/>
                <w:sz w:val="20"/>
                <w:szCs w:val="20"/>
              </w:rPr>
              <w:t>U1</w:t>
            </w:r>
            <w:proofErr w:type="spellEnd"/>
            <w:r w:rsidRPr="00B56A98">
              <w:rPr>
                <w:sz w:val="20"/>
                <w:szCs w:val="20"/>
              </w:rPr>
              <w:t xml:space="preserve"> locus</w:t>
            </w:r>
          </w:p>
        </w:tc>
      </w:tr>
      <w:tr w:rsidR="009D4B4F" w:rsidRPr="00E729AA" w14:paraId="19283F60" w14:textId="77777777" w:rsidTr="00CC1348">
        <w:trPr>
          <w:jc w:val="center"/>
        </w:trPr>
        <w:tc>
          <w:tcPr>
            <w:tcW w:w="2127" w:type="dxa"/>
            <w:vAlign w:val="center"/>
          </w:tcPr>
          <w:p w14:paraId="1207655B" w14:textId="77777777" w:rsidR="009D4B4F" w:rsidRPr="004D7467" w:rsidRDefault="009D4B4F" w:rsidP="00CC1348">
            <w:pPr>
              <w:spacing w:before="60" w:after="60" w:line="276" w:lineRule="auto"/>
              <w:jc w:val="left"/>
              <w:rPr>
                <w:rFonts w:cs="Arial"/>
                <w:sz w:val="20"/>
                <w:szCs w:val="20"/>
              </w:rPr>
            </w:pPr>
            <w:proofErr w:type="spellStart"/>
            <w:r w:rsidRPr="001929D6">
              <w:rPr>
                <w:rFonts w:cs="Arial"/>
                <w:sz w:val="20"/>
                <w:szCs w:val="20"/>
              </w:rPr>
              <w:t>U1</w:t>
            </w:r>
            <w:proofErr w:type="spellEnd"/>
            <w:r w:rsidRPr="001929D6">
              <w:rPr>
                <w:rFonts w:cs="Arial"/>
                <w:sz w:val="20"/>
                <w:szCs w:val="20"/>
              </w:rPr>
              <w:t xml:space="preserve"> RT </w:t>
            </w:r>
            <w:proofErr w:type="spellStart"/>
            <w:r w:rsidRPr="001929D6">
              <w:rPr>
                <w:rFonts w:cs="Arial"/>
                <w:sz w:val="20"/>
                <w:szCs w:val="20"/>
              </w:rPr>
              <w:t>R2</w:t>
            </w:r>
            <w:proofErr w:type="spellEnd"/>
          </w:p>
        </w:tc>
        <w:tc>
          <w:tcPr>
            <w:tcW w:w="3827" w:type="dxa"/>
            <w:vAlign w:val="center"/>
          </w:tcPr>
          <w:p w14:paraId="40C8000B" w14:textId="77777777" w:rsidR="009D4B4F" w:rsidRPr="004D7467" w:rsidRDefault="009D4B4F" w:rsidP="00CC1348">
            <w:pPr>
              <w:spacing w:before="60" w:after="60" w:line="276" w:lineRule="auto"/>
              <w:jc w:val="left"/>
              <w:rPr>
                <w:rFonts w:cs="Arial"/>
                <w:sz w:val="20"/>
                <w:szCs w:val="20"/>
              </w:rPr>
            </w:pPr>
            <w:proofErr w:type="spellStart"/>
            <w:r w:rsidRPr="001929D6">
              <w:rPr>
                <w:rFonts w:cs="Arial"/>
                <w:sz w:val="20"/>
                <w:szCs w:val="20"/>
              </w:rPr>
              <w:t>ggtgtcaaacttctccaggc</w:t>
            </w:r>
            <w:proofErr w:type="spellEnd"/>
          </w:p>
        </w:tc>
        <w:tc>
          <w:tcPr>
            <w:tcW w:w="3401" w:type="dxa"/>
            <w:vMerge/>
          </w:tcPr>
          <w:p w14:paraId="53B67160" w14:textId="77777777" w:rsidR="009D4B4F" w:rsidRPr="00E729AA" w:rsidRDefault="009D4B4F" w:rsidP="00CC1348">
            <w:pPr>
              <w:rPr>
                <w:rFonts w:cs="Arial"/>
              </w:rPr>
            </w:pPr>
          </w:p>
        </w:tc>
      </w:tr>
    </w:tbl>
    <w:bookmarkEnd w:id="0"/>
    <w:p w14:paraId="38141500" w14:textId="5293C71F" w:rsidR="009D4B4F" w:rsidRPr="00A2022E" w:rsidRDefault="009D4B4F" w:rsidP="009D4B4F">
      <w:pPr>
        <w:spacing w:before="360" w:line="240" w:lineRule="auto"/>
        <w:rPr>
          <w:rFonts w:cstheme="majorHAnsi"/>
          <w:sz w:val="18"/>
          <w:szCs w:val="18"/>
        </w:rPr>
      </w:pPr>
      <w:r w:rsidRPr="00A2022E">
        <w:rPr>
          <w:rFonts w:cstheme="majorHAnsi"/>
          <w:sz w:val="18"/>
          <w:szCs w:val="18"/>
          <w:vertAlign w:val="superscript"/>
        </w:rPr>
        <w:t>1</w:t>
      </w:r>
      <w:r w:rsidRPr="00A2022E">
        <w:rPr>
          <w:rFonts w:cstheme="majorHAnsi"/>
          <w:sz w:val="18"/>
          <w:szCs w:val="18"/>
        </w:rPr>
        <w:t xml:space="preserve"> </w:t>
      </w:r>
      <w:r w:rsidRPr="00A2022E">
        <w:rPr>
          <w:rFonts w:cstheme="majorHAnsi"/>
          <w:sz w:val="18"/>
          <w:szCs w:val="18"/>
        </w:rPr>
        <w:fldChar w:fldCharType="begin" w:fldLock="1"/>
      </w:r>
      <w:r w:rsidR="00E06521">
        <w:rPr>
          <w:rFonts w:cstheme="majorHAnsi"/>
          <w:sz w:val="18"/>
          <w:szCs w:val="18"/>
        </w:rPr>
        <w:instrText>ADDIN CSL_CITATION {"citationItems":[{"id":"ITEM-1","itemData":{"DOI":"10.1038/emboj.2008.21","ISSN":"02614189","abstract":"The yeast telomerase holoenzyme, which adds telomeric repeats at the chromosome ends, is composed of the TLC1 RNA and the associated proteins Est1, Est2 and Est3. To study the biogenesis of telomerase in endogenous conditions, we performed fluorescent in situ hybridization on the native TLC1 RNA. We found that the telomerase RNA colocalizes with telomeres in G1- to S-phase cells. Strains lacking any one of the Est proteins accumulate TLC1 RNA in their cytoplasm, indicating that a critical stage of telomerase biogenesis could take place outside of the nucleus. We were able to demonstrate that endogenous TLC1 RNA shuttles between the nucleus and the cytoplasm, in association with the Crm1p exportin and the nuclear importins Mtr10p-Kap122p. Furthermore, nuclear retention of the TLC1 RNA is impaired in the absence of yKu70p, Tel1p or the MRX complex, which recruit telomerase to telomeres. Altogether, our results reveal that the nucleo-cytoplasmic trafficking of the TLC1 RNA is an important step in telomere homeostasis, and link telomerase biogenesis to its recruitment to telomeres. © 2008 European Molecular Biology Organization | All Rights Reserved.","author":[{"dropping-particle":"","family":"Gallardo","given":"Franck","non-dropping-particle":"","parse-names":false,"suffix":""},{"dropping-particle":"","family":"Olivier","given":"Catherine","non-dropping-particle":"","parse-names":false,"suffix":""},{"dropping-particle":"","family":"Dandjinou","given":"Alain T.","non-dropping-particle":"","parse-names":false,"suffix":""},{"dropping-particle":"","family":"Wellinger","given":"Raymund J.","non-dropping-particle":"","parse-names":false,"suffix":""},{"dropping-particle":"","family":"Chartrand","given":"Pascal","non-dropping-particle":"","parse-names":false,"suffix":""}],"container-title":"EMBO Journal","id":"ITEM-1","issue":"5","issued":{"date-parts":[["2008"]]},"page":"748-757","title":"TLC1 RNA nucleo-cytoplasmic trafficking links telomerase biogenesis to its recruitment to telomeres","type":"article-journal","volume":"27"},"uris":["http://www.mendeley.com/documents/?uuid=cc238053-59be-45da-9cd0-0f24ff48ec76"]}],"mendeley":{"formattedCitation":"(Gallardo &lt;i&gt;et al.&lt;/i&gt;, 2008)","plainTextFormattedCitation":"(Gallardo et al., 2008)","previouslyFormattedCitation":"(1)"},"properties":{"noteIndex":0},"schema":"https://github.com/citation-style-language/schema/raw/master/csl-citation.json"}</w:instrText>
      </w:r>
      <w:r w:rsidRPr="00A2022E">
        <w:rPr>
          <w:rFonts w:cstheme="majorHAnsi"/>
          <w:sz w:val="18"/>
          <w:szCs w:val="18"/>
        </w:rPr>
        <w:fldChar w:fldCharType="separate"/>
      </w:r>
      <w:r w:rsidR="00E06521" w:rsidRPr="00E06521">
        <w:rPr>
          <w:rFonts w:cstheme="majorHAnsi"/>
          <w:noProof/>
          <w:sz w:val="18"/>
          <w:szCs w:val="18"/>
        </w:rPr>
        <w:t xml:space="preserve">(Gallardo </w:t>
      </w:r>
      <w:r w:rsidR="00E06521" w:rsidRPr="00E06521">
        <w:rPr>
          <w:rFonts w:cstheme="majorHAnsi"/>
          <w:i/>
          <w:noProof/>
          <w:sz w:val="18"/>
          <w:szCs w:val="18"/>
        </w:rPr>
        <w:t>et al.</w:t>
      </w:r>
      <w:r w:rsidR="00E06521" w:rsidRPr="00E06521">
        <w:rPr>
          <w:rFonts w:cstheme="majorHAnsi"/>
          <w:noProof/>
          <w:sz w:val="18"/>
          <w:szCs w:val="18"/>
        </w:rPr>
        <w:t>, 2008)</w:t>
      </w:r>
      <w:r w:rsidRPr="00A2022E">
        <w:rPr>
          <w:rFonts w:cstheme="majorHAnsi"/>
          <w:sz w:val="18"/>
          <w:szCs w:val="18"/>
        </w:rPr>
        <w:fldChar w:fldCharType="end"/>
      </w:r>
    </w:p>
    <w:p w14:paraId="757673A5" w14:textId="02F62064" w:rsidR="009D4B4F" w:rsidRPr="00A2022E" w:rsidRDefault="009D4B4F" w:rsidP="009D4B4F">
      <w:pPr>
        <w:spacing w:line="240" w:lineRule="auto"/>
        <w:rPr>
          <w:rFonts w:cstheme="majorHAnsi"/>
          <w:sz w:val="18"/>
          <w:szCs w:val="18"/>
        </w:rPr>
      </w:pPr>
      <w:r w:rsidRPr="00A2022E">
        <w:rPr>
          <w:rFonts w:cstheme="majorHAnsi"/>
          <w:sz w:val="18"/>
          <w:szCs w:val="18"/>
          <w:vertAlign w:val="superscript"/>
        </w:rPr>
        <w:t>2</w:t>
      </w:r>
      <w:r w:rsidRPr="00A2022E">
        <w:rPr>
          <w:rFonts w:cstheme="majorHAnsi"/>
          <w:sz w:val="18"/>
          <w:szCs w:val="18"/>
        </w:rPr>
        <w:t xml:space="preserve"> </w:t>
      </w:r>
      <w:r w:rsidRPr="00A2022E">
        <w:rPr>
          <w:rFonts w:cstheme="majorHAnsi"/>
          <w:sz w:val="18"/>
          <w:szCs w:val="18"/>
        </w:rPr>
        <w:fldChar w:fldCharType="begin" w:fldLock="1"/>
      </w:r>
      <w:r w:rsidR="00E06521">
        <w:rPr>
          <w:rFonts w:cstheme="majorHAnsi"/>
          <w:sz w:val="18"/>
          <w:szCs w:val="18"/>
        </w:rPr>
        <w:instrText>ADDIN CSL_CITATION {"citationItems":[{"id":"ITEM-1","itemData":{"DOI":"10.1016/j.celrep.2015.06.045","ISSN":"22111247","abstract":"The number of essential telomerase components in the active ribonucleoprotein (RNP) has important implications for its mechanism of action yet is by and large unknown. We report that two differentially tagged TLC1 RNAs endogenously expressed in a heterozygous diploid and simultaneously detected via multi-color fluorescence insitu hybridization (FISH) experiments do not co-localize. Probabilistic calculations combined with direct quantification of FISH signals demonstrate that the TLC1 RNA indeed occurs as a single molecule in these RNPs. In addition, two differentially tagged reverse-transcriptase subunits could not be co-immunoprecipitated. These results therefore show that, in yeast cells, telomerase is assembled and matured and occurs as a monomer when not on telomeres. Finally, combining these findings with previous evidence leads us to propose that the enzyme also acts as a monomer when elongating telomeres.","author":[{"dropping-particle":"","family":"Bajon","given":"Emmanuel","non-dropping-particle":"","parse-names":false,"suffix":""},{"dropping-particle":"","family":"Laterreur","given":"Nancy","non-dropping-particle":"","parse-names":false,"suffix":""},{"dropping-particle":"","family":"Wellinger","given":"Raymund J.","non-dropping-particle":"","parse-names":false,"suffix":""}],"container-title":"Cell Reports","id":"ITEM-1","issue":"3","issued":{"date-parts":[["2015"]]},"page":"441-448","publisher":"The Authors","title":"A Single Templating RNA in Yeast Telomerase","type":"article-journal","volume":"12"},"uris":["http://www.mendeley.com/documents/?uuid=3e242054-5649-4e44-8799-5a1d3614a15f"]}],"mendeley":{"formattedCitation":"(Bajon, Laterreur and Wellinger, 2015)","plainTextFormattedCitation":"(Bajon, Laterreur and Wellinger, 2015)","previouslyFormattedCitation":"(2)"},"properties":{"noteIndex":0},"schema":"https://github.com/citation-style-language/schema/raw/master/csl-citation.json"}</w:instrText>
      </w:r>
      <w:r w:rsidRPr="00A2022E">
        <w:rPr>
          <w:rFonts w:cstheme="majorHAnsi"/>
          <w:sz w:val="18"/>
          <w:szCs w:val="18"/>
        </w:rPr>
        <w:fldChar w:fldCharType="separate"/>
      </w:r>
      <w:r w:rsidR="00E06521" w:rsidRPr="00E06521">
        <w:rPr>
          <w:rFonts w:cstheme="majorHAnsi"/>
          <w:noProof/>
          <w:sz w:val="18"/>
          <w:szCs w:val="18"/>
        </w:rPr>
        <w:t>(Bajon, Laterreur and Wellinger, 2015)</w:t>
      </w:r>
      <w:r w:rsidRPr="00A2022E">
        <w:rPr>
          <w:rFonts w:cstheme="majorHAnsi"/>
          <w:sz w:val="18"/>
          <w:szCs w:val="18"/>
        </w:rPr>
        <w:fldChar w:fldCharType="end"/>
      </w:r>
    </w:p>
    <w:p w14:paraId="5C3F6831" w14:textId="77777777" w:rsidR="009D4B4F" w:rsidRPr="00A2022E" w:rsidRDefault="009D4B4F" w:rsidP="009D4B4F">
      <w:pPr>
        <w:spacing w:line="240" w:lineRule="auto"/>
        <w:rPr>
          <w:rFonts w:cstheme="majorHAnsi"/>
          <w:sz w:val="18"/>
          <w:szCs w:val="18"/>
        </w:rPr>
      </w:pPr>
      <w:r w:rsidRPr="00A2022E">
        <w:rPr>
          <w:rFonts w:cstheme="majorHAnsi"/>
          <w:sz w:val="18"/>
          <w:szCs w:val="18"/>
        </w:rPr>
        <w:t xml:space="preserve">* - </w:t>
      </w:r>
      <w:proofErr w:type="spellStart"/>
      <w:r w:rsidRPr="00A2022E">
        <w:rPr>
          <w:rFonts w:cstheme="majorHAnsi"/>
          <w:sz w:val="18"/>
          <w:szCs w:val="18"/>
        </w:rPr>
        <w:t>aminoallyl</w:t>
      </w:r>
      <w:proofErr w:type="spellEnd"/>
      <w:r w:rsidRPr="00A2022E">
        <w:rPr>
          <w:rFonts w:cstheme="majorHAnsi"/>
          <w:sz w:val="18"/>
          <w:szCs w:val="18"/>
        </w:rPr>
        <w:t xml:space="preserve"> modified-T conjugated to the Cyanine dye</w:t>
      </w:r>
    </w:p>
    <w:p w14:paraId="078D0555" w14:textId="77777777" w:rsidR="009D4B4F" w:rsidRPr="00A2022E" w:rsidRDefault="009D4B4F" w:rsidP="009D4B4F">
      <w:pPr>
        <w:spacing w:line="240" w:lineRule="auto"/>
        <w:rPr>
          <w:rFonts w:cs="Arial"/>
          <w:sz w:val="18"/>
          <w:szCs w:val="18"/>
        </w:rPr>
      </w:pPr>
      <w:r w:rsidRPr="00A2022E">
        <w:rPr>
          <w:rFonts w:cstheme="majorHAnsi"/>
          <w:sz w:val="18"/>
          <w:szCs w:val="18"/>
        </w:rPr>
        <w:t xml:space="preserve">^N - </w:t>
      </w:r>
      <w:r w:rsidRPr="00A2022E">
        <w:rPr>
          <w:color w:val="000000"/>
          <w:sz w:val="18"/>
          <w:szCs w:val="18"/>
          <w:lang w:eastAsia="en-GB"/>
        </w:rPr>
        <w:t>locked nucleic acid (</w:t>
      </w:r>
      <w:proofErr w:type="spellStart"/>
      <w:r w:rsidRPr="00A2022E">
        <w:rPr>
          <w:color w:val="000000"/>
          <w:sz w:val="18"/>
          <w:szCs w:val="18"/>
          <w:lang w:eastAsia="en-GB"/>
        </w:rPr>
        <w:t>LNA</w:t>
      </w:r>
      <w:proofErr w:type="spellEnd"/>
      <w:r w:rsidRPr="00A2022E">
        <w:rPr>
          <w:color w:val="000000"/>
          <w:sz w:val="18"/>
          <w:szCs w:val="18"/>
          <w:lang w:eastAsia="en-GB"/>
        </w:rPr>
        <w:t>)</w:t>
      </w:r>
    </w:p>
    <w:p w14:paraId="48124613" w14:textId="47A15A39" w:rsidR="00885845" w:rsidRDefault="00D62F93" w:rsidP="00D62F93">
      <w:pPr>
        <w:pStyle w:val="Heading2"/>
        <w:spacing w:before="480"/>
      </w:pPr>
      <w:r>
        <w:rPr>
          <w:sz w:val="24"/>
          <w:szCs w:val="24"/>
        </w:rPr>
        <w:t>References</w:t>
      </w:r>
    </w:p>
    <w:p w14:paraId="253B237D" w14:textId="62980AA3" w:rsidR="00E06521" w:rsidRPr="00E06521" w:rsidRDefault="005B408E" w:rsidP="00E06521">
      <w:pPr>
        <w:widowControl w:val="0"/>
        <w:autoSpaceDE w:val="0"/>
        <w:autoSpaceDN w:val="0"/>
        <w:adjustRightInd w:val="0"/>
        <w:rPr>
          <w:rFonts w:cs="Arial"/>
          <w:noProof/>
          <w:szCs w:val="24"/>
        </w:rPr>
      </w:pPr>
      <w:r>
        <w:fldChar w:fldCharType="begin" w:fldLock="1"/>
      </w:r>
      <w:r>
        <w:instrText xml:space="preserve">ADDIN Mendeley Bibliography CSL_BIBLIOGRAPHY </w:instrText>
      </w:r>
      <w:r>
        <w:fldChar w:fldCharType="separate"/>
      </w:r>
      <w:r w:rsidR="00E06521" w:rsidRPr="00E06521">
        <w:rPr>
          <w:rFonts w:cs="Arial"/>
          <w:noProof/>
          <w:szCs w:val="24"/>
        </w:rPr>
        <w:t xml:space="preserve">Bajon, E., Laterreur, N. and Wellinger, R. J. (2015) ‘A Single Templating RNA in Yeast Telomerase’, </w:t>
      </w:r>
      <w:r w:rsidR="00E06521" w:rsidRPr="00E06521">
        <w:rPr>
          <w:rFonts w:cs="Arial"/>
          <w:i/>
          <w:iCs/>
          <w:noProof/>
          <w:szCs w:val="24"/>
        </w:rPr>
        <w:t>Cell Reports</w:t>
      </w:r>
      <w:r w:rsidR="00E06521" w:rsidRPr="00E06521">
        <w:rPr>
          <w:rFonts w:cs="Arial"/>
          <w:noProof/>
          <w:szCs w:val="24"/>
        </w:rPr>
        <w:t>. The Authors, 12(3), pp. 441–448. doi: 10.1016/j.celrep.2015.06.045.</w:t>
      </w:r>
    </w:p>
    <w:p w14:paraId="7593F116" w14:textId="140F1B45" w:rsidR="009D4B4F" w:rsidRDefault="00E06521" w:rsidP="00D62F93">
      <w:pPr>
        <w:widowControl w:val="0"/>
        <w:autoSpaceDE w:val="0"/>
        <w:autoSpaceDN w:val="0"/>
        <w:adjustRightInd w:val="0"/>
      </w:pPr>
      <w:r w:rsidRPr="00E06521">
        <w:rPr>
          <w:rFonts w:cs="Arial"/>
          <w:noProof/>
          <w:szCs w:val="24"/>
        </w:rPr>
        <w:t xml:space="preserve">Gallardo, F. </w:t>
      </w:r>
      <w:r w:rsidRPr="00E06521">
        <w:rPr>
          <w:rFonts w:cs="Arial"/>
          <w:i/>
          <w:iCs/>
          <w:noProof/>
          <w:szCs w:val="24"/>
        </w:rPr>
        <w:t>et al.</w:t>
      </w:r>
      <w:r w:rsidRPr="00E06521">
        <w:rPr>
          <w:rFonts w:cs="Arial"/>
          <w:noProof/>
          <w:szCs w:val="24"/>
        </w:rPr>
        <w:t xml:space="preserve"> (2008) ‘TLC1 RNA nucleo-cytoplasmic trafficking links telomerase biogenesis to its recruitment to telomeres’, </w:t>
      </w:r>
      <w:r w:rsidRPr="00E06521">
        <w:rPr>
          <w:rFonts w:cs="Arial"/>
          <w:i/>
          <w:iCs/>
          <w:noProof/>
          <w:szCs w:val="24"/>
        </w:rPr>
        <w:t>EMBO Journal</w:t>
      </w:r>
      <w:r w:rsidRPr="00E06521">
        <w:rPr>
          <w:rFonts w:cs="Arial"/>
          <w:noProof/>
          <w:szCs w:val="24"/>
        </w:rPr>
        <w:t>, 27(5), pp. 748–757. doi: 10.1038/emboj.2008.21.</w:t>
      </w:r>
      <w:r w:rsidR="005B408E">
        <w:fldChar w:fldCharType="end"/>
      </w:r>
    </w:p>
    <w:sectPr w:rsidR="009D4B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4F"/>
    <w:rsid w:val="005B408E"/>
    <w:rsid w:val="00885845"/>
    <w:rsid w:val="009D4B4F"/>
    <w:rsid w:val="00D62F93"/>
    <w:rsid w:val="00E065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4EAF"/>
  <w15:chartTrackingRefBased/>
  <w15:docId w15:val="{877F71CC-E81F-428C-8B30-DD3B7921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4F"/>
    <w:pPr>
      <w:spacing w:line="360" w:lineRule="auto"/>
      <w:jc w:val="both"/>
    </w:pPr>
    <w:rPr>
      <w:rFonts w:ascii="Arial" w:hAnsi="Arial"/>
    </w:rPr>
  </w:style>
  <w:style w:type="paragraph" w:styleId="Heading2">
    <w:name w:val="heading 2"/>
    <w:basedOn w:val="Normal"/>
    <w:next w:val="Normal"/>
    <w:link w:val="Heading2Char"/>
    <w:uiPriority w:val="9"/>
    <w:unhideWhenUsed/>
    <w:qFormat/>
    <w:rsid w:val="009D4B4F"/>
    <w:pPr>
      <w:keepNext/>
      <w:keepLines/>
      <w:spacing w:before="160" w:after="120"/>
      <w:jc w:val="left"/>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B4F"/>
    <w:rPr>
      <w:rFonts w:ascii="Arial" w:eastAsiaTheme="majorEastAsia" w:hAnsi="Arial" w:cstheme="majorBidi"/>
      <w:b/>
      <w:sz w:val="26"/>
      <w:szCs w:val="26"/>
    </w:rPr>
  </w:style>
  <w:style w:type="table" w:styleId="TableGrid">
    <w:name w:val="Table Grid"/>
    <w:basedOn w:val="TableNormal"/>
    <w:uiPriority w:val="39"/>
    <w:rsid w:val="009D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C8449F0-40D6-4FD2-B27C-8B94889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y.vasianovich@outlook.com</dc:creator>
  <cp:keywords/>
  <dc:description/>
  <cp:lastModifiedBy>y.vasianovich@outlook.com</cp:lastModifiedBy>
  <cp:revision>2</cp:revision>
  <dcterms:created xsi:type="dcterms:W3CDTF">2020-10-14T17:16:00Z</dcterms:created>
  <dcterms:modified xsi:type="dcterms:W3CDTF">2020-10-14T17:52:00Z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d861eef4-17cc-3ccb-8055-2dca8224ad4f</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