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16" w:rsidRPr="00991ABC" w:rsidRDefault="00B150AC" w:rsidP="006A4B16">
      <w:pPr>
        <w:spacing w:line="480" w:lineRule="auto"/>
        <w:rPr>
          <w:rFonts w:ascii="Times New Roman" w:hAnsi="Times New Roman" w:cs="Times New Roman"/>
          <w:sz w:val="24"/>
          <w:szCs w:val="24"/>
        </w:rPr>
      </w:pPr>
      <w:r>
        <w:rPr>
          <w:rFonts w:ascii="Times New Roman" w:hAnsi="Times New Roman" w:cs="Times New Roman"/>
          <w:b/>
          <w:sz w:val="24"/>
          <w:szCs w:val="24"/>
        </w:rPr>
        <w:t>Supplementary f</w:t>
      </w:r>
      <w:bookmarkStart w:id="0" w:name="_GoBack"/>
      <w:bookmarkEnd w:id="0"/>
      <w:r w:rsidR="00FD1184">
        <w:rPr>
          <w:rFonts w:ascii="Times New Roman" w:hAnsi="Times New Roman" w:cs="Times New Roman"/>
          <w:b/>
          <w:sz w:val="24"/>
          <w:szCs w:val="24"/>
        </w:rPr>
        <w:t>ile</w:t>
      </w:r>
      <w:r w:rsidR="006A4B16">
        <w:rPr>
          <w:rFonts w:ascii="Times New Roman" w:hAnsi="Times New Roman" w:cs="Times New Roman"/>
          <w:b/>
          <w:sz w:val="24"/>
          <w:szCs w:val="24"/>
        </w:rPr>
        <w:t xml:space="preserve"> 3.</w:t>
      </w:r>
      <w:r w:rsidR="006A4B16" w:rsidRPr="00991ABC">
        <w:rPr>
          <w:rFonts w:ascii="Times New Roman" w:hAnsi="Times New Roman" w:cs="Times New Roman"/>
          <w:sz w:val="24"/>
          <w:szCs w:val="24"/>
        </w:rPr>
        <w:t xml:space="preserve"> List of analysis regions and countries in each region.</w:t>
      </w:r>
    </w:p>
    <w:p w:rsidR="006A4B16" w:rsidRPr="00991ABC" w:rsidRDefault="006A4B16" w:rsidP="006A4B16">
      <w:pPr>
        <w:rPr>
          <w:rFonts w:ascii="Times New Roman" w:hAnsi="Times New Roman" w:cs="Times New Roman"/>
          <w:sz w:val="24"/>
          <w:szCs w:val="24"/>
        </w:rPr>
      </w:pPr>
      <w:r w:rsidRPr="00991ABC">
        <w:rPr>
          <w:rFonts w:ascii="Times New Roman" w:hAnsi="Times New Roman" w:cs="Times New Roman"/>
          <w:sz w:val="24"/>
          <w:szCs w:val="24"/>
        </w:rPr>
        <w:br w:type="page"/>
      </w:r>
    </w:p>
    <w:tbl>
      <w:tblPr>
        <w:tblStyle w:val="TableGrid"/>
        <w:tblW w:w="9634" w:type="dxa"/>
        <w:jc w:val="center"/>
        <w:tblCellMar>
          <w:top w:w="113" w:type="dxa"/>
          <w:bottom w:w="113" w:type="dxa"/>
        </w:tblCellMar>
        <w:tblLook w:val="04A0" w:firstRow="1" w:lastRow="0" w:firstColumn="1" w:lastColumn="0" w:noHBand="0" w:noVBand="1"/>
      </w:tblPr>
      <w:tblGrid>
        <w:gridCol w:w="2405"/>
        <w:gridCol w:w="7229"/>
      </w:tblGrid>
      <w:tr w:rsidR="006A4B16" w:rsidRPr="004D5762" w:rsidTr="001161F8">
        <w:trPr>
          <w:trHeight w:val="303"/>
          <w:jc w:val="center"/>
        </w:trPr>
        <w:tc>
          <w:tcPr>
            <w:tcW w:w="2405" w:type="dxa"/>
            <w:noWrap/>
            <w:vAlign w:val="center"/>
            <w:hideMark/>
          </w:tcPr>
          <w:p w:rsidR="006A4B16" w:rsidRPr="00EB0DD9" w:rsidRDefault="006A4B16" w:rsidP="00DA52D9">
            <w:pPr>
              <w:rPr>
                <w:rFonts w:ascii="Times New Roman" w:eastAsia="Times New Roman" w:hAnsi="Times New Roman" w:cs="Times New Roman"/>
                <w:b/>
                <w:color w:val="000000"/>
                <w:lang w:eastAsia="en-GB"/>
              </w:rPr>
            </w:pPr>
            <w:r w:rsidRPr="00EB0DD9">
              <w:rPr>
                <w:rFonts w:ascii="Times New Roman" w:eastAsia="Times New Roman" w:hAnsi="Times New Roman" w:cs="Times New Roman"/>
                <w:b/>
                <w:color w:val="000000"/>
                <w:lang w:eastAsia="en-GB"/>
              </w:rPr>
              <w:lastRenderedPageBreak/>
              <w:t>Region</w:t>
            </w:r>
          </w:p>
          <w:p w:rsidR="006A4B16" w:rsidRPr="00EB0DD9" w:rsidRDefault="006A4B16" w:rsidP="00DA52D9">
            <w:pPr>
              <w:rPr>
                <w:rFonts w:ascii="Times New Roman" w:eastAsia="Times New Roman" w:hAnsi="Times New Roman" w:cs="Times New Roman"/>
                <w:b/>
                <w:bCs/>
                <w:color w:val="000000"/>
                <w:lang w:eastAsia="en-GB"/>
              </w:rPr>
            </w:pPr>
            <w:r w:rsidRPr="00EB0DD9">
              <w:rPr>
                <w:rFonts w:ascii="Times New Roman" w:eastAsia="Times New Roman" w:hAnsi="Times New Roman" w:cs="Times New Roman"/>
                <w:b/>
                <w:bCs/>
                <w:color w:val="000000"/>
                <w:lang w:eastAsia="en-GB"/>
              </w:rPr>
              <w:t>(Number of countries)</w:t>
            </w:r>
          </w:p>
        </w:tc>
        <w:tc>
          <w:tcPr>
            <w:tcW w:w="7229" w:type="dxa"/>
            <w:noWrap/>
            <w:vAlign w:val="center"/>
            <w:hideMark/>
          </w:tcPr>
          <w:p w:rsidR="006A4B16" w:rsidRPr="004D5762" w:rsidRDefault="006A4B16" w:rsidP="00DA52D9">
            <w:pPr>
              <w:rPr>
                <w:rFonts w:ascii="Times New Roman" w:eastAsia="Times New Roman" w:hAnsi="Times New Roman" w:cs="Times New Roman"/>
                <w:b/>
                <w:color w:val="000000"/>
                <w:lang w:eastAsia="en-GB"/>
              </w:rPr>
            </w:pPr>
            <w:r w:rsidRPr="004D5762">
              <w:rPr>
                <w:rFonts w:ascii="Times New Roman" w:eastAsia="Times New Roman" w:hAnsi="Times New Roman" w:cs="Times New Roman"/>
                <w:b/>
                <w:color w:val="000000"/>
                <w:lang w:eastAsia="en-GB"/>
              </w:rPr>
              <w:t>Countries</w:t>
            </w:r>
          </w:p>
        </w:tc>
      </w:tr>
      <w:tr w:rsidR="00EB0DD9" w:rsidRPr="00B150AC" w:rsidTr="00EB0DD9">
        <w:trPr>
          <w:trHeight w:val="300"/>
          <w:jc w:val="center"/>
        </w:trPr>
        <w:tc>
          <w:tcPr>
            <w:tcW w:w="2405" w:type="dxa"/>
            <w:shd w:val="clear" w:color="auto" w:fill="auto"/>
            <w:noWrap/>
            <w:vAlign w:val="center"/>
            <w:hideMark/>
          </w:tcPr>
          <w:p w:rsidR="00EB0DD9" w:rsidRPr="00EB0DD9" w:rsidRDefault="00A922A3" w:rsidP="00EB0DD9">
            <w:pPr>
              <w:rPr>
                <w:rFonts w:ascii="Times New Roman" w:hAnsi="Times New Roman" w:cs="Times New Roman"/>
                <w:b/>
                <w:color w:val="000000"/>
              </w:rPr>
            </w:pPr>
            <w:r>
              <w:rPr>
                <w:rFonts w:ascii="Times New Roman" w:hAnsi="Times New Roman" w:cs="Times New Roman"/>
                <w:b/>
                <w:color w:val="000000"/>
              </w:rPr>
              <w:t>Central and E</w:t>
            </w:r>
            <w:r w:rsidR="00EB0DD9" w:rsidRPr="00EB0DD9">
              <w:rPr>
                <w:rFonts w:ascii="Times New Roman" w:hAnsi="Times New Roman" w:cs="Times New Roman"/>
                <w:b/>
                <w:color w:val="000000"/>
              </w:rPr>
              <w:t>astern Europe (20)</w:t>
            </w:r>
          </w:p>
        </w:tc>
        <w:tc>
          <w:tcPr>
            <w:tcW w:w="7229" w:type="dxa"/>
            <w:noWrap/>
            <w:vAlign w:val="center"/>
            <w:hideMark/>
          </w:tcPr>
          <w:p w:rsidR="00EB0DD9" w:rsidRPr="00EB0DD9" w:rsidRDefault="00EB0DD9" w:rsidP="00EB0DD9">
            <w:pPr>
              <w:rPr>
                <w:rFonts w:ascii="Times New Roman" w:hAnsi="Times New Roman" w:cs="Times New Roman"/>
                <w:color w:val="000000"/>
                <w:lang w:val="it-IT"/>
              </w:rPr>
            </w:pPr>
            <w:r w:rsidRPr="00B150AC">
              <w:rPr>
                <w:rFonts w:ascii="Times New Roman" w:hAnsi="Times New Roman" w:cs="Times New Roman"/>
                <w:color w:val="000000"/>
                <w:lang w:val="it-IT"/>
              </w:rPr>
              <w:t>Albania, Belarus, Bosnia and Herzegovina</w:t>
            </w:r>
            <w:r w:rsidRPr="00EB0DD9">
              <w:rPr>
                <w:rFonts w:ascii="Times New Roman" w:hAnsi="Times New Roman" w:cs="Times New Roman"/>
                <w:color w:val="000000"/>
                <w:lang w:val="it-IT"/>
              </w:rPr>
              <w:t>, Bulgaria, Croatia, Czech Republic, Estonia, Hungary, Latvia, Lithuania, Macedonia (TFYR), Moldova, Montenegro, Poland, Romania, Russian Federation, Serbia, Slovakia, Slovenia, Ukraine</w:t>
            </w:r>
          </w:p>
        </w:tc>
      </w:tr>
      <w:tr w:rsidR="00EB0DD9" w:rsidRPr="004D5762" w:rsidTr="00EB0DD9">
        <w:trPr>
          <w:trHeight w:val="300"/>
          <w:jc w:val="center"/>
        </w:trPr>
        <w:tc>
          <w:tcPr>
            <w:tcW w:w="2405" w:type="dxa"/>
            <w:shd w:val="clear" w:color="auto" w:fill="auto"/>
            <w:noWrap/>
            <w:vAlign w:val="center"/>
            <w:hideMark/>
          </w:tcPr>
          <w:p w:rsidR="00EB0DD9" w:rsidRPr="00EB0DD9" w:rsidRDefault="00EB0DD9" w:rsidP="00EB0DD9">
            <w:pPr>
              <w:rPr>
                <w:rFonts w:ascii="Times New Roman" w:hAnsi="Times New Roman" w:cs="Times New Roman"/>
                <w:b/>
                <w:color w:val="000000"/>
              </w:rPr>
            </w:pPr>
            <w:r w:rsidRPr="00EB0DD9">
              <w:rPr>
                <w:rFonts w:ascii="Times New Roman" w:hAnsi="Times New Roman" w:cs="Times New Roman"/>
                <w:b/>
                <w:color w:val="000000"/>
              </w:rPr>
              <w:t>Cen</w:t>
            </w:r>
            <w:r w:rsidR="00A922A3">
              <w:rPr>
                <w:rFonts w:ascii="Times New Roman" w:hAnsi="Times New Roman" w:cs="Times New Roman"/>
                <w:b/>
                <w:color w:val="000000"/>
              </w:rPr>
              <w:t>tral Asia, the Middle East and N</w:t>
            </w:r>
            <w:r w:rsidRPr="00EB0DD9">
              <w:rPr>
                <w:rFonts w:ascii="Times New Roman" w:hAnsi="Times New Roman" w:cs="Times New Roman"/>
                <w:b/>
                <w:color w:val="000000"/>
              </w:rPr>
              <w:t>orth Africa (28)</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Algeria, Armenia, Azerbaijan, Bahrain, Egypt, Georgia, Iran, Iraq, Jordan, Kazakhstan, Kuwait, Kyrgyzstan, Lebanon, Libya, Mongolia, Morocco, Occupied Palestinian Territory, Oman, Qatar, Saudi Arabia, Syrian Arab Republic, Tajikistan, Tunisia, Turkey, Turkmenistan, United Arab Emirates, Uzbekistan, Yemen</w:t>
            </w:r>
          </w:p>
        </w:tc>
      </w:tr>
      <w:tr w:rsidR="00EB0DD9" w:rsidRPr="004D5762" w:rsidTr="00EB0DD9">
        <w:trPr>
          <w:trHeight w:val="300"/>
          <w:jc w:val="center"/>
        </w:trPr>
        <w:tc>
          <w:tcPr>
            <w:tcW w:w="2405" w:type="dxa"/>
            <w:shd w:val="clear" w:color="auto" w:fill="auto"/>
            <w:noWrap/>
            <w:vAlign w:val="center"/>
            <w:hideMark/>
          </w:tcPr>
          <w:p w:rsidR="00EB0DD9" w:rsidRPr="00EB0DD9" w:rsidRDefault="00A922A3" w:rsidP="00EB0DD9">
            <w:pPr>
              <w:rPr>
                <w:rFonts w:ascii="Times New Roman" w:hAnsi="Times New Roman" w:cs="Times New Roman"/>
                <w:b/>
                <w:color w:val="000000"/>
              </w:rPr>
            </w:pPr>
            <w:r>
              <w:rPr>
                <w:rFonts w:ascii="Times New Roman" w:hAnsi="Times New Roman" w:cs="Times New Roman"/>
                <w:b/>
                <w:color w:val="000000"/>
              </w:rPr>
              <w:t>East and South</w:t>
            </w:r>
            <w:r w:rsidR="00EB0DD9" w:rsidRPr="00EB0DD9">
              <w:rPr>
                <w:rFonts w:ascii="Times New Roman" w:hAnsi="Times New Roman" w:cs="Times New Roman"/>
                <w:b/>
                <w:color w:val="000000"/>
              </w:rPr>
              <w:t>east Asia (16)</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Brunei Darussalam, Cambodia, China, China (Hong Kong SAR), Indonesia, Lao PDR, Malaysia, Maldives, Myanmar, North Korea, Philippines, Sri Lanka, Taiwan, Thailand, Timor-Leste, Viet Nam</w:t>
            </w:r>
          </w:p>
        </w:tc>
      </w:tr>
      <w:tr w:rsidR="00EB0DD9" w:rsidRPr="004D5762" w:rsidTr="00EB0DD9">
        <w:trPr>
          <w:trHeight w:val="300"/>
          <w:jc w:val="center"/>
        </w:trPr>
        <w:tc>
          <w:tcPr>
            <w:tcW w:w="2405" w:type="dxa"/>
            <w:shd w:val="clear" w:color="auto" w:fill="auto"/>
            <w:noWrap/>
            <w:vAlign w:val="center"/>
            <w:hideMark/>
          </w:tcPr>
          <w:p w:rsidR="00EB0DD9" w:rsidRPr="00EB0DD9" w:rsidRDefault="00EB0DD9" w:rsidP="00EB0DD9">
            <w:pPr>
              <w:rPr>
                <w:rFonts w:ascii="Times New Roman" w:hAnsi="Times New Roman" w:cs="Times New Roman"/>
                <w:b/>
                <w:color w:val="000000"/>
              </w:rPr>
            </w:pPr>
            <w:r w:rsidRPr="00EB0DD9">
              <w:rPr>
                <w:rFonts w:ascii="Times New Roman" w:hAnsi="Times New Roman" w:cs="Times New Roman"/>
                <w:b/>
                <w:color w:val="000000"/>
              </w:rPr>
              <w:t>High-income Asia Pacific (3)</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Japan, Singapore, South Korea</w:t>
            </w:r>
          </w:p>
        </w:tc>
      </w:tr>
      <w:tr w:rsidR="00EB0DD9" w:rsidRPr="004D5762" w:rsidTr="00EB0DD9">
        <w:trPr>
          <w:trHeight w:val="300"/>
          <w:jc w:val="center"/>
        </w:trPr>
        <w:tc>
          <w:tcPr>
            <w:tcW w:w="2405" w:type="dxa"/>
            <w:shd w:val="clear" w:color="auto" w:fill="auto"/>
            <w:noWrap/>
            <w:vAlign w:val="center"/>
            <w:hideMark/>
          </w:tcPr>
          <w:p w:rsidR="00EB0DD9" w:rsidRPr="00EB0DD9" w:rsidRDefault="00EB0DD9" w:rsidP="00EB0DD9">
            <w:pPr>
              <w:rPr>
                <w:rFonts w:ascii="Times New Roman" w:hAnsi="Times New Roman" w:cs="Times New Roman"/>
                <w:b/>
                <w:color w:val="000000"/>
              </w:rPr>
            </w:pPr>
            <w:r w:rsidRPr="00EB0DD9">
              <w:rPr>
                <w:rFonts w:ascii="Times New Roman" w:hAnsi="Times New Roman" w:cs="Times New Roman"/>
                <w:b/>
                <w:color w:val="000000"/>
              </w:rPr>
              <w:t>High-income western (27)</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Andorra, Australia, Austria, Belgium, Canada, Cyprus, Denmark, Finland, France, Germany, Greece, Greenland, Iceland, Ireland, Israel, Italy, Luxembourg, Malta, Netherlands, New Zealand, Norway, Portugal, Spain, Sweden, Switzerland, United Kingdom, United States of America</w:t>
            </w:r>
          </w:p>
        </w:tc>
      </w:tr>
      <w:tr w:rsidR="00EB0DD9" w:rsidRPr="004D5762" w:rsidTr="00EB0DD9">
        <w:trPr>
          <w:trHeight w:val="300"/>
          <w:jc w:val="center"/>
        </w:trPr>
        <w:tc>
          <w:tcPr>
            <w:tcW w:w="2405" w:type="dxa"/>
            <w:shd w:val="clear" w:color="auto" w:fill="auto"/>
            <w:noWrap/>
            <w:vAlign w:val="center"/>
            <w:hideMark/>
          </w:tcPr>
          <w:p w:rsidR="00EB0DD9" w:rsidRPr="00EB0DD9" w:rsidRDefault="00EB0DD9" w:rsidP="00EB0DD9">
            <w:pPr>
              <w:rPr>
                <w:rFonts w:ascii="Times New Roman" w:hAnsi="Times New Roman" w:cs="Times New Roman"/>
                <w:b/>
                <w:color w:val="000000"/>
              </w:rPr>
            </w:pPr>
            <w:r w:rsidRPr="00EB0DD9">
              <w:rPr>
                <w:rFonts w:ascii="Times New Roman" w:hAnsi="Times New Roman" w:cs="Times New Roman"/>
                <w:b/>
                <w:color w:val="000000"/>
              </w:rPr>
              <w:t>Latin America and the Caribbean (35)</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Antigua and Barbuda, Argentina, Bahamas, Barbados, Belize, Bermuda, Bolivia, Brazil, Chile, Colombia, Costa Rica, Cuba, Dominica, Dominican Republic, Ecuador, El Salvador, Grenada, Guatemala, Guyana, Haiti, Honduras, Jamaica, Mexico, Nicaragua, Panama, Paraguay, Peru, Puerto Rico, Saint Kitts and Nevis, Saint Lucia, Saint Vincent and the Grenadines, Suriname, Trinidad and Tobago, Uruguay, Venezuela</w:t>
            </w:r>
          </w:p>
        </w:tc>
      </w:tr>
      <w:tr w:rsidR="00EB0DD9" w:rsidRPr="004D5762" w:rsidTr="00EB0DD9">
        <w:trPr>
          <w:trHeight w:val="300"/>
          <w:jc w:val="center"/>
        </w:trPr>
        <w:tc>
          <w:tcPr>
            <w:tcW w:w="2405" w:type="dxa"/>
            <w:shd w:val="clear" w:color="auto" w:fill="auto"/>
            <w:noWrap/>
            <w:vAlign w:val="center"/>
            <w:hideMark/>
          </w:tcPr>
          <w:p w:rsidR="00EB0DD9" w:rsidRPr="00EB0DD9" w:rsidRDefault="00EB0DD9" w:rsidP="00EB0DD9">
            <w:pPr>
              <w:rPr>
                <w:rFonts w:ascii="Times New Roman" w:hAnsi="Times New Roman" w:cs="Times New Roman"/>
                <w:b/>
                <w:color w:val="000000"/>
              </w:rPr>
            </w:pPr>
            <w:r w:rsidRPr="00EB0DD9">
              <w:rPr>
                <w:rFonts w:ascii="Times New Roman" w:hAnsi="Times New Roman" w:cs="Times New Roman"/>
                <w:b/>
                <w:color w:val="000000"/>
              </w:rPr>
              <w:t>Oceania (17)</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American Samoa, Cook Islands, Fiji, French Polynesia, Kiribati, Marshall Islands, Micronesia (Federated States of), Nauru, Niue, Palau, Papua New Guinea, Samoa, Solomon Islands, Tokelau, Tonga, Tuvalu, Vanuatu</w:t>
            </w:r>
          </w:p>
        </w:tc>
      </w:tr>
      <w:tr w:rsidR="00EB0DD9" w:rsidRPr="004D5762" w:rsidTr="00EB0DD9">
        <w:trPr>
          <w:trHeight w:val="300"/>
          <w:jc w:val="center"/>
        </w:trPr>
        <w:tc>
          <w:tcPr>
            <w:tcW w:w="2405" w:type="dxa"/>
            <w:shd w:val="clear" w:color="auto" w:fill="auto"/>
            <w:noWrap/>
            <w:vAlign w:val="center"/>
            <w:hideMark/>
          </w:tcPr>
          <w:p w:rsidR="00EB0DD9" w:rsidRPr="00EB0DD9" w:rsidRDefault="00EB0DD9" w:rsidP="00EB0DD9">
            <w:pPr>
              <w:rPr>
                <w:rFonts w:ascii="Times New Roman" w:hAnsi="Times New Roman" w:cs="Times New Roman"/>
                <w:b/>
                <w:color w:val="000000"/>
              </w:rPr>
            </w:pPr>
            <w:r w:rsidRPr="00EB0DD9">
              <w:rPr>
                <w:rFonts w:ascii="Times New Roman" w:hAnsi="Times New Roman" w:cs="Times New Roman"/>
                <w:b/>
                <w:color w:val="000000"/>
              </w:rPr>
              <w:t>South Asia (6)</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Afghanistan, Bangladesh, Bhutan, India, Nepal, Pakistan</w:t>
            </w:r>
          </w:p>
        </w:tc>
      </w:tr>
      <w:tr w:rsidR="00EB0DD9" w:rsidRPr="004D5762" w:rsidTr="00EB0DD9">
        <w:trPr>
          <w:trHeight w:val="300"/>
          <w:jc w:val="center"/>
        </w:trPr>
        <w:tc>
          <w:tcPr>
            <w:tcW w:w="2405" w:type="dxa"/>
            <w:shd w:val="clear" w:color="auto" w:fill="auto"/>
            <w:noWrap/>
            <w:vAlign w:val="center"/>
            <w:hideMark/>
          </w:tcPr>
          <w:p w:rsidR="00EB0DD9" w:rsidRPr="00EB0DD9" w:rsidRDefault="00EB0DD9" w:rsidP="00EB0DD9">
            <w:pPr>
              <w:rPr>
                <w:rFonts w:ascii="Times New Roman" w:hAnsi="Times New Roman" w:cs="Times New Roman"/>
                <w:b/>
                <w:color w:val="000000"/>
              </w:rPr>
            </w:pPr>
            <w:r w:rsidRPr="00EB0DD9">
              <w:rPr>
                <w:rFonts w:ascii="Times New Roman" w:hAnsi="Times New Roman" w:cs="Times New Roman"/>
                <w:b/>
                <w:color w:val="000000"/>
              </w:rPr>
              <w:t>Sub-Saharan Africa (48)</w:t>
            </w:r>
          </w:p>
        </w:tc>
        <w:tc>
          <w:tcPr>
            <w:tcW w:w="7229" w:type="dxa"/>
            <w:noWrap/>
            <w:vAlign w:val="center"/>
            <w:hideMark/>
          </w:tcPr>
          <w:p w:rsidR="00EB0DD9" w:rsidRPr="00EB0DD9" w:rsidRDefault="00EB0DD9" w:rsidP="00EB0DD9">
            <w:pPr>
              <w:rPr>
                <w:rFonts w:ascii="Times New Roman" w:hAnsi="Times New Roman" w:cs="Times New Roman"/>
                <w:color w:val="000000"/>
              </w:rPr>
            </w:pPr>
            <w:r w:rsidRPr="00EB0DD9">
              <w:rPr>
                <w:rFonts w:ascii="Times New Roman" w:hAnsi="Times New Roman" w:cs="Times New Roman"/>
                <w:color w:val="000000"/>
              </w:rPr>
              <w:t>Angola, Benin, Botswana, Burkina Faso, Burundi, Cabo Verde, Cameroon, Central African Republic, Chad, Comoros, Congo, Cote d'Ivoire, Djibouti, DR Congo, Equatorial Guinea, Eritrea, Ethiopia, Gabon, Gambia, Ghana, Guinea, Guinea Bissau, Kenya, Lesotho, Liberia, Madagascar, Malawi, Mali, Mauritania, Mauritius, Mozambique, Namibia, Niger, Nigeria, Rwanda, Sao Tome and Principe, Senegal, Seychelles, Sierra Leone, Somalia, South Africa, Sudan, Swaziland, Tanzania, Togo, Uganda, Zambia, Zimbabwe</w:t>
            </w:r>
          </w:p>
        </w:tc>
      </w:tr>
    </w:tbl>
    <w:p w:rsidR="006A4B16" w:rsidRPr="00991ABC" w:rsidRDefault="006A4B16" w:rsidP="006A4B16">
      <w:pPr>
        <w:rPr>
          <w:rFonts w:ascii="Times New Roman" w:hAnsi="Times New Roman" w:cs="Times New Roman"/>
          <w:b/>
          <w:sz w:val="24"/>
          <w:szCs w:val="24"/>
        </w:rPr>
      </w:pPr>
    </w:p>
    <w:p w:rsidR="00526257" w:rsidRPr="006A4B16" w:rsidRDefault="00B150AC" w:rsidP="006A4B16">
      <w:pPr>
        <w:spacing w:line="480" w:lineRule="auto"/>
        <w:rPr>
          <w:rFonts w:ascii="Times New Roman" w:hAnsi="Times New Roman" w:cs="Times New Roman"/>
          <w:b/>
          <w:sz w:val="24"/>
          <w:szCs w:val="24"/>
        </w:rPr>
      </w:pPr>
    </w:p>
    <w:sectPr w:rsidR="00526257" w:rsidRPr="006A4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16"/>
    <w:rsid w:val="00071989"/>
    <w:rsid w:val="001161F8"/>
    <w:rsid w:val="006309E6"/>
    <w:rsid w:val="006575A1"/>
    <w:rsid w:val="006A4B16"/>
    <w:rsid w:val="00875DC1"/>
    <w:rsid w:val="00A922A3"/>
    <w:rsid w:val="00B150AC"/>
    <w:rsid w:val="00C511A1"/>
    <w:rsid w:val="00EB0DD9"/>
    <w:rsid w:val="00FD1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0444"/>
  <w15:chartTrackingRefBased/>
  <w15:docId w15:val="{BA9A8A1D-C9F3-4CC1-83E6-7FC21A9C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81000">
      <w:bodyDiv w:val="1"/>
      <w:marLeft w:val="0"/>
      <w:marRight w:val="0"/>
      <w:marTop w:val="0"/>
      <w:marBottom w:val="0"/>
      <w:divBdr>
        <w:top w:val="none" w:sz="0" w:space="0" w:color="auto"/>
        <w:left w:val="none" w:sz="0" w:space="0" w:color="auto"/>
        <w:bottom w:val="none" w:sz="0" w:space="0" w:color="auto"/>
        <w:right w:val="none" w:sz="0" w:space="0" w:color="auto"/>
      </w:divBdr>
    </w:div>
    <w:div w:id="692731588">
      <w:bodyDiv w:val="1"/>
      <w:marLeft w:val="0"/>
      <w:marRight w:val="0"/>
      <w:marTop w:val="0"/>
      <w:marBottom w:val="0"/>
      <w:divBdr>
        <w:top w:val="none" w:sz="0" w:space="0" w:color="auto"/>
        <w:left w:val="none" w:sz="0" w:space="0" w:color="auto"/>
        <w:bottom w:val="none" w:sz="0" w:space="0" w:color="auto"/>
        <w:right w:val="none" w:sz="0" w:space="0" w:color="auto"/>
      </w:divBdr>
    </w:div>
    <w:div w:id="1118329043">
      <w:bodyDiv w:val="1"/>
      <w:marLeft w:val="0"/>
      <w:marRight w:val="0"/>
      <w:marTop w:val="0"/>
      <w:marBottom w:val="0"/>
      <w:divBdr>
        <w:top w:val="none" w:sz="0" w:space="0" w:color="auto"/>
        <w:left w:val="none" w:sz="0" w:space="0" w:color="auto"/>
        <w:bottom w:val="none" w:sz="0" w:space="0" w:color="auto"/>
        <w:right w:val="none" w:sz="0" w:space="0" w:color="auto"/>
      </w:divBdr>
    </w:div>
    <w:div w:id="1210991468">
      <w:bodyDiv w:val="1"/>
      <w:marLeft w:val="0"/>
      <w:marRight w:val="0"/>
      <w:marTop w:val="0"/>
      <w:marBottom w:val="0"/>
      <w:divBdr>
        <w:top w:val="none" w:sz="0" w:space="0" w:color="auto"/>
        <w:left w:val="none" w:sz="0" w:space="0" w:color="auto"/>
        <w:bottom w:val="none" w:sz="0" w:space="0" w:color="auto"/>
        <w:right w:val="none" w:sz="0" w:space="0" w:color="auto"/>
      </w:divBdr>
    </w:div>
    <w:div w:id="1474059513">
      <w:bodyDiv w:val="1"/>
      <w:marLeft w:val="0"/>
      <w:marRight w:val="0"/>
      <w:marTop w:val="0"/>
      <w:marBottom w:val="0"/>
      <w:divBdr>
        <w:top w:val="none" w:sz="0" w:space="0" w:color="auto"/>
        <w:left w:val="none" w:sz="0" w:space="0" w:color="auto"/>
        <w:bottom w:val="none" w:sz="0" w:space="0" w:color="auto"/>
        <w:right w:val="none" w:sz="0" w:space="0" w:color="auto"/>
      </w:divBdr>
    </w:div>
    <w:div w:id="1648821656">
      <w:bodyDiv w:val="1"/>
      <w:marLeft w:val="0"/>
      <w:marRight w:val="0"/>
      <w:marTop w:val="0"/>
      <w:marBottom w:val="0"/>
      <w:divBdr>
        <w:top w:val="none" w:sz="0" w:space="0" w:color="auto"/>
        <w:left w:val="none" w:sz="0" w:space="0" w:color="auto"/>
        <w:bottom w:val="none" w:sz="0" w:space="0" w:color="auto"/>
        <w:right w:val="none" w:sz="0" w:space="0" w:color="auto"/>
      </w:divBdr>
    </w:div>
    <w:div w:id="1648896523">
      <w:bodyDiv w:val="1"/>
      <w:marLeft w:val="0"/>
      <w:marRight w:val="0"/>
      <w:marTop w:val="0"/>
      <w:marBottom w:val="0"/>
      <w:divBdr>
        <w:top w:val="none" w:sz="0" w:space="0" w:color="auto"/>
        <w:left w:val="none" w:sz="0" w:space="0" w:color="auto"/>
        <w:bottom w:val="none" w:sz="0" w:space="0" w:color="auto"/>
        <w:right w:val="none" w:sz="0" w:space="0" w:color="auto"/>
      </w:divBdr>
    </w:div>
    <w:div w:id="1758793978">
      <w:bodyDiv w:val="1"/>
      <w:marLeft w:val="0"/>
      <w:marRight w:val="0"/>
      <w:marTop w:val="0"/>
      <w:marBottom w:val="0"/>
      <w:divBdr>
        <w:top w:val="none" w:sz="0" w:space="0" w:color="auto"/>
        <w:left w:val="none" w:sz="0" w:space="0" w:color="auto"/>
        <w:bottom w:val="none" w:sz="0" w:space="0" w:color="auto"/>
        <w:right w:val="none" w:sz="0" w:space="0" w:color="auto"/>
      </w:divBdr>
    </w:div>
    <w:div w:id="18182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Iurilli, Nia</dc:creator>
  <cp:keywords/>
  <dc:description/>
  <cp:lastModifiedBy>Iurilli, Nia</cp:lastModifiedBy>
  <cp:revision>6</cp:revision>
  <dcterms:created xsi:type="dcterms:W3CDTF">2021-01-21T12:31:00Z</dcterms:created>
  <dcterms:modified xsi:type="dcterms:W3CDTF">2021-02-22T13:02:00Z</dcterms:modified>
</cp:coreProperties>
</file>