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255.0" w:type="dxa"/>
        <w:jc w:val="left"/>
        <w:tblInd w:w="6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3015"/>
        <w:gridCol w:w="105"/>
        <w:gridCol w:w="1215"/>
        <w:gridCol w:w="825"/>
        <w:gridCol w:w="1005"/>
        <w:gridCol w:w="825"/>
        <w:gridCol w:w="975"/>
        <w:gridCol w:w="705"/>
        <w:tblGridChange w:id="0">
          <w:tblGrid>
            <w:gridCol w:w="585"/>
            <w:gridCol w:w="3015"/>
            <w:gridCol w:w="105"/>
            <w:gridCol w:w="1215"/>
            <w:gridCol w:w="825"/>
            <w:gridCol w:w="1005"/>
            <w:gridCol w:w="825"/>
            <w:gridCol w:w="975"/>
            <w:gridCol w:w="705"/>
          </w:tblGrid>
        </w:tblGridChange>
      </w:tblGrid>
      <w:tr>
        <w:trPr>
          <w:trHeight w:val="380" w:hRule="atLeast"/>
        </w:trPr>
        <w:tc>
          <w:tcPr>
            <w:gridSpan w:val="3"/>
            <w:vMerge w:val="restart"/>
            <w:tcBorders>
              <w:top w:color="000000" w:space="0" w:sz="8" w:val="single"/>
              <w:lef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02">
            <w:pPr>
              <w:widowControl w:val="0"/>
              <w:rPr>
                <w:sz w:val="20"/>
                <w:szCs w:val="20"/>
              </w:rPr>
            </w:pPr>
            <w:r w:rsidDel="00000000" w:rsidR="00000000" w:rsidRPr="00000000">
              <w:rPr>
                <w:sz w:val="20"/>
                <w:szCs w:val="20"/>
                <w:rtl w:val="0"/>
              </w:rPr>
              <w:t xml:space="preserve">Number of mislocalizations </w:t>
            </w:r>
          </w:p>
        </w:tc>
        <w:tc>
          <w:tcPr>
            <w:vMerge w:val="restart"/>
            <w:tcBorders>
              <w:top w:color="000000" w:space="0" w:sz="8" w:val="single"/>
              <w:left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05">
            <w:pPr>
              <w:widowControl w:val="0"/>
              <w:rPr>
                <w:sz w:val="20"/>
                <w:szCs w:val="20"/>
              </w:rPr>
            </w:pPr>
            <w:r w:rsidDel="00000000" w:rsidR="00000000" w:rsidRPr="00000000">
              <w:rPr>
                <w:sz w:val="20"/>
                <w:szCs w:val="20"/>
                <w:rtl w:val="0"/>
              </w:rPr>
              <w:t xml:space="preserve">Age Group</w:t>
            </w:r>
          </w:p>
        </w:tc>
        <w:tc>
          <w:tcPr>
            <w:gridSpan w:val="5"/>
            <w:tcBorders>
              <w:top w:color="000000" w:space="0" w:sz="8" w:val="single"/>
              <w:left w:color="000000" w:space="0" w:sz="0" w:val="nil"/>
              <w:bottom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06">
            <w:pPr>
              <w:widowControl w:val="0"/>
              <w:jc w:val="center"/>
              <w:rPr>
                <w:sz w:val="20"/>
                <w:szCs w:val="20"/>
              </w:rPr>
            </w:pPr>
            <w:r w:rsidDel="00000000" w:rsidR="00000000" w:rsidRPr="00000000">
              <w:rPr>
                <w:sz w:val="20"/>
                <w:szCs w:val="20"/>
                <w:rtl w:val="0"/>
              </w:rPr>
              <w:t xml:space="preserve">Neighbouring finger to the stimulated finger</w:t>
            </w:r>
          </w:p>
        </w:tc>
      </w:tr>
      <w:tr>
        <w:trPr>
          <w:trHeight w:val="460" w:hRule="atLeast"/>
        </w:trPr>
        <w:tc>
          <w:tcPr>
            <w:gridSpan w:val="3"/>
            <w:vMerge w:val="continue"/>
            <w:tcBorders>
              <w:left w:color="000000" w:space="0" w:sz="0" w:val="nil"/>
              <w:bottom w:color="000000" w:space="0" w:sz="8" w:val="single"/>
            </w:tcBorders>
            <w:tcMar>
              <w:top w:w="140.0" w:type="dxa"/>
              <w:left w:w="140.0" w:type="dxa"/>
              <w:bottom w:w="140.0" w:type="dxa"/>
              <w:right w:w="140.0" w:type="dxa"/>
            </w:tcMar>
            <w:vAlign w:val="top"/>
          </w:tcPr>
          <w:p w:rsidR="00000000" w:rsidDel="00000000" w:rsidP="00000000" w:rsidRDefault="00000000" w:rsidRPr="00000000" w14:paraId="0000000B">
            <w:pPr>
              <w:widowControl w:val="0"/>
              <w:rPr/>
            </w:pPr>
            <w:r w:rsidDel="00000000" w:rsidR="00000000" w:rsidRPr="00000000">
              <w:rPr>
                <w:rtl w:val="0"/>
              </w:rPr>
            </w:r>
          </w:p>
        </w:tc>
        <w:tc>
          <w:tcPr>
            <w:vMerge w:val="continue"/>
            <w:tcBorders>
              <w:left w:color="000000" w:space="0" w:sz="0" w:val="nil"/>
              <w:bottom w:color="000000" w:space="0" w:sz="8" w:val="single"/>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0E">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0F">
            <w:pPr>
              <w:widowControl w:val="0"/>
              <w:jc w:val="center"/>
              <w:rPr>
                <w:sz w:val="20"/>
                <w:szCs w:val="20"/>
              </w:rPr>
            </w:pPr>
            <w:r w:rsidDel="00000000" w:rsidR="00000000" w:rsidRPr="00000000">
              <w:rPr>
                <w:sz w:val="20"/>
                <w:szCs w:val="20"/>
                <w:rtl w:val="0"/>
              </w:rPr>
              <w:t xml:space="preserve">1st</w:t>
            </w:r>
          </w:p>
        </w:tc>
        <w:tc>
          <w:tcPr>
            <w:tcBorders>
              <w:top w:color="000000" w:space="0" w:sz="8" w:val="single"/>
              <w:left w:color="000000" w:space="0" w:sz="0" w:val="nil"/>
              <w:bottom w:color="000000"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10">
            <w:pPr>
              <w:widowControl w:val="0"/>
              <w:jc w:val="center"/>
              <w:rPr>
                <w:sz w:val="20"/>
                <w:szCs w:val="20"/>
              </w:rPr>
            </w:pPr>
            <w:r w:rsidDel="00000000" w:rsidR="00000000" w:rsidRPr="00000000">
              <w:rPr>
                <w:sz w:val="20"/>
                <w:szCs w:val="20"/>
                <w:rtl w:val="0"/>
              </w:rPr>
              <w:t xml:space="preserve">2nd</w:t>
            </w:r>
          </w:p>
        </w:tc>
        <w:tc>
          <w:tcPr>
            <w:tcBorders>
              <w:top w:color="000000" w:space="0" w:sz="8" w:val="single"/>
              <w:left w:color="000000" w:space="0" w:sz="0" w:val="nil"/>
              <w:bottom w:color="000000"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11">
            <w:pPr>
              <w:widowControl w:val="0"/>
              <w:jc w:val="center"/>
              <w:rPr>
                <w:sz w:val="20"/>
                <w:szCs w:val="20"/>
              </w:rPr>
            </w:pPr>
            <w:r w:rsidDel="00000000" w:rsidR="00000000" w:rsidRPr="00000000">
              <w:rPr>
                <w:sz w:val="20"/>
                <w:szCs w:val="20"/>
                <w:rtl w:val="0"/>
              </w:rPr>
              <w:t xml:space="preserve">3rd</w:t>
            </w:r>
          </w:p>
        </w:tc>
        <w:tc>
          <w:tcPr>
            <w:tcBorders>
              <w:top w:color="000000" w:space="0" w:sz="8" w:val="single"/>
              <w:left w:color="000000" w:space="0" w:sz="0" w:val="nil"/>
              <w:bottom w:color="000000"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12">
            <w:pPr>
              <w:widowControl w:val="0"/>
              <w:jc w:val="center"/>
              <w:rPr>
                <w:sz w:val="20"/>
                <w:szCs w:val="20"/>
              </w:rPr>
            </w:pPr>
            <w:r w:rsidDel="00000000" w:rsidR="00000000" w:rsidRPr="00000000">
              <w:rPr>
                <w:sz w:val="20"/>
                <w:szCs w:val="20"/>
                <w:rtl w:val="0"/>
              </w:rPr>
              <w:t xml:space="preserve">4th</w:t>
            </w:r>
          </w:p>
        </w:tc>
        <w:tc>
          <w:tcPr>
            <w:tcBorders>
              <w:top w:color="000000" w:space="0" w:sz="8" w:val="single"/>
              <w:left w:color="000000" w:space="0" w:sz="0" w:val="nil"/>
              <w:bottom w:color="000000"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13">
            <w:pPr>
              <w:widowControl w:val="0"/>
              <w:jc w:val="right"/>
              <w:rPr>
                <w:sz w:val="20"/>
                <w:szCs w:val="20"/>
              </w:rPr>
            </w:pPr>
            <w:r w:rsidDel="00000000" w:rsidR="00000000" w:rsidRPr="00000000">
              <w:rPr>
                <w:sz w:val="20"/>
                <w:szCs w:val="20"/>
                <w:rtl w:val="0"/>
              </w:rPr>
              <w:t xml:space="preserve">Sum</w:t>
            </w:r>
          </w:p>
        </w:tc>
      </w:tr>
      <w:tr>
        <w:trPr>
          <w:trHeight w:val="420" w:hRule="atLeast"/>
        </w:trPr>
        <w:tc>
          <w:tcPr>
            <w:gridSpan w:val="3"/>
            <w:tcBorders>
              <w:top w:color="000000" w:space="0" w:sz="8" w:val="single"/>
              <w:left w:color="000000" w:space="0" w:sz="0" w:val="nil"/>
              <w:bottom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Measured distribution</w:t>
            </w:r>
          </w:p>
        </w:tc>
        <w:tc>
          <w:tcPr>
            <w:tcBorders>
              <w:top w:color="000000"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younger</w:t>
            </w:r>
          </w:p>
        </w:tc>
        <w:tc>
          <w:tcPr>
            <w:tcBorders>
              <w:top w:color="000000"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18">
            <w:pPr>
              <w:widowControl w:val="0"/>
              <w:jc w:val="center"/>
              <w:rPr>
                <w:sz w:val="20"/>
                <w:szCs w:val="20"/>
              </w:rPr>
            </w:pPr>
            <w:r w:rsidDel="00000000" w:rsidR="00000000" w:rsidRPr="00000000">
              <w:rPr>
                <w:sz w:val="20"/>
                <w:szCs w:val="20"/>
                <w:rtl w:val="0"/>
              </w:rPr>
              <w:t xml:space="preserve">387</w:t>
            </w:r>
          </w:p>
        </w:tc>
        <w:tc>
          <w:tcPr>
            <w:tcBorders>
              <w:top w:color="000000"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19">
            <w:pPr>
              <w:widowControl w:val="0"/>
              <w:jc w:val="center"/>
              <w:rPr>
                <w:sz w:val="20"/>
                <w:szCs w:val="20"/>
              </w:rPr>
            </w:pPr>
            <w:r w:rsidDel="00000000" w:rsidR="00000000" w:rsidRPr="00000000">
              <w:rPr>
                <w:sz w:val="20"/>
                <w:szCs w:val="20"/>
                <w:rtl w:val="0"/>
              </w:rPr>
              <w:t xml:space="preserve">285</w:t>
            </w:r>
          </w:p>
        </w:tc>
        <w:tc>
          <w:tcPr>
            <w:tcBorders>
              <w:top w:color="000000"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1A">
            <w:pPr>
              <w:widowControl w:val="0"/>
              <w:jc w:val="center"/>
              <w:rPr>
                <w:sz w:val="20"/>
                <w:szCs w:val="20"/>
              </w:rPr>
            </w:pPr>
            <w:r w:rsidDel="00000000" w:rsidR="00000000" w:rsidRPr="00000000">
              <w:rPr>
                <w:sz w:val="20"/>
                <w:szCs w:val="20"/>
                <w:rtl w:val="0"/>
              </w:rPr>
              <w:t xml:space="preserve">202</w:t>
            </w:r>
          </w:p>
        </w:tc>
        <w:tc>
          <w:tcPr>
            <w:tcBorders>
              <w:top w:color="000000"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1B">
            <w:pPr>
              <w:widowControl w:val="0"/>
              <w:jc w:val="center"/>
              <w:rPr>
                <w:sz w:val="20"/>
                <w:szCs w:val="20"/>
              </w:rPr>
            </w:pPr>
            <w:r w:rsidDel="00000000" w:rsidR="00000000" w:rsidRPr="00000000">
              <w:rPr>
                <w:sz w:val="20"/>
                <w:szCs w:val="20"/>
                <w:rtl w:val="0"/>
              </w:rPr>
              <w:t xml:space="preserve">68</w:t>
            </w:r>
          </w:p>
        </w:tc>
        <w:tc>
          <w:tcPr>
            <w:tcBorders>
              <w:top w:color="000000"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1C">
            <w:pPr>
              <w:widowControl w:val="0"/>
              <w:jc w:val="right"/>
              <w:rPr>
                <w:sz w:val="20"/>
                <w:szCs w:val="20"/>
              </w:rPr>
            </w:pPr>
            <w:r w:rsidDel="00000000" w:rsidR="00000000" w:rsidRPr="00000000">
              <w:rPr>
                <w:sz w:val="20"/>
                <w:szCs w:val="20"/>
                <w:rtl w:val="0"/>
              </w:rPr>
              <w:t xml:space="preserve">942</w:t>
            </w:r>
          </w:p>
        </w:tc>
      </w:tr>
      <w:tr>
        <w:trPr>
          <w:trHeight w:val="345" w:hRule="atLeast"/>
        </w:trPr>
        <w:tc>
          <w:tcPr>
            <w:gridSpan w:val="3"/>
            <w:tcBorders>
              <w:top w:color="000000" w:space="0" w:sz="0" w:val="nil"/>
              <w:left w:color="000000" w:space="0" w:sz="0" w:val="nil"/>
              <w:bottom w:color="ffffff"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Distribution expected by chance </w:t>
            </w:r>
          </w:p>
        </w:tc>
        <w:tc>
          <w:tcPr>
            <w:tcBorders>
              <w:top w:color="000000" w:space="0" w:sz="0" w:val="nil"/>
              <w:left w:color="000000" w:space="0" w:sz="0" w:val="nil"/>
              <w:bottom w:color="ffffff"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younger</w:t>
            </w:r>
          </w:p>
        </w:tc>
        <w:tc>
          <w:tcPr>
            <w:tcBorders>
              <w:top w:color="000000" w:space="0" w:sz="0" w:val="nil"/>
              <w:left w:color="000000" w:space="0" w:sz="0" w:val="nil"/>
              <w:bottom w:color="ffffff"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1">
            <w:pPr>
              <w:widowControl w:val="0"/>
              <w:jc w:val="center"/>
              <w:rPr>
                <w:sz w:val="20"/>
                <w:szCs w:val="20"/>
              </w:rPr>
            </w:pPr>
            <w:r w:rsidDel="00000000" w:rsidR="00000000" w:rsidRPr="00000000">
              <w:rPr>
                <w:sz w:val="20"/>
                <w:szCs w:val="20"/>
                <w:rtl w:val="0"/>
              </w:rPr>
              <w:t xml:space="preserve">377</w:t>
            </w:r>
          </w:p>
        </w:tc>
        <w:tc>
          <w:tcPr>
            <w:tcBorders>
              <w:top w:color="000000" w:space="0" w:sz="0" w:val="nil"/>
              <w:left w:color="000000" w:space="0" w:sz="0" w:val="nil"/>
              <w:bottom w:color="ffffff"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2">
            <w:pPr>
              <w:widowControl w:val="0"/>
              <w:jc w:val="center"/>
              <w:rPr>
                <w:sz w:val="20"/>
                <w:szCs w:val="20"/>
              </w:rPr>
            </w:pPr>
            <w:r w:rsidDel="00000000" w:rsidR="00000000" w:rsidRPr="00000000">
              <w:rPr>
                <w:sz w:val="20"/>
                <w:szCs w:val="20"/>
                <w:rtl w:val="0"/>
              </w:rPr>
              <w:t xml:space="preserve">283</w:t>
            </w:r>
          </w:p>
        </w:tc>
        <w:tc>
          <w:tcPr>
            <w:tcBorders>
              <w:top w:color="000000" w:space="0" w:sz="0" w:val="nil"/>
              <w:left w:color="000000" w:space="0" w:sz="0" w:val="nil"/>
              <w:bottom w:color="ffffff"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3">
            <w:pPr>
              <w:widowControl w:val="0"/>
              <w:jc w:val="center"/>
              <w:rPr>
                <w:sz w:val="20"/>
                <w:szCs w:val="20"/>
              </w:rPr>
            </w:pPr>
            <w:r w:rsidDel="00000000" w:rsidR="00000000" w:rsidRPr="00000000">
              <w:rPr>
                <w:sz w:val="20"/>
                <w:szCs w:val="20"/>
                <w:rtl w:val="0"/>
              </w:rPr>
              <w:t xml:space="preserve">188</w:t>
            </w:r>
          </w:p>
        </w:tc>
        <w:tc>
          <w:tcPr>
            <w:tcBorders>
              <w:top w:color="000000" w:space="0" w:sz="0" w:val="nil"/>
              <w:left w:color="000000" w:space="0" w:sz="0" w:val="nil"/>
              <w:bottom w:color="ffffff"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4">
            <w:pPr>
              <w:widowControl w:val="0"/>
              <w:jc w:val="center"/>
              <w:rPr>
                <w:sz w:val="20"/>
                <w:szCs w:val="20"/>
              </w:rPr>
            </w:pPr>
            <w:r w:rsidDel="00000000" w:rsidR="00000000" w:rsidRPr="00000000">
              <w:rPr>
                <w:sz w:val="20"/>
                <w:szCs w:val="20"/>
                <w:rtl w:val="0"/>
              </w:rPr>
              <w:t xml:space="preserve">94</w:t>
            </w:r>
          </w:p>
        </w:tc>
        <w:tc>
          <w:tcPr>
            <w:tcBorders>
              <w:top w:color="000000" w:space="0" w:sz="0" w:val="nil"/>
              <w:left w:color="000000" w:space="0" w:sz="0" w:val="nil"/>
              <w:bottom w:color="ffffff"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5">
            <w:pPr>
              <w:widowControl w:val="0"/>
              <w:jc w:val="right"/>
              <w:rPr>
                <w:sz w:val="20"/>
                <w:szCs w:val="20"/>
              </w:rPr>
            </w:pPr>
            <w:r w:rsidDel="00000000" w:rsidR="00000000" w:rsidRPr="00000000">
              <w:rPr>
                <w:sz w:val="20"/>
                <w:szCs w:val="20"/>
                <w:rtl w:val="0"/>
              </w:rPr>
              <w:t xml:space="preserve">942</w:t>
            </w:r>
          </w:p>
        </w:tc>
      </w:tr>
      <w:tr>
        <w:trPr>
          <w:trHeight w:val="330" w:hRule="atLeast"/>
        </w:trPr>
        <w:tc>
          <w:tcPr>
            <w:gridSpan w:val="3"/>
            <w:tcBorders>
              <w:top w:color="ffffff" w:space="0" w:sz="8" w:val="single"/>
              <w:left w:color="000000" w:space="0" w:sz="0" w:val="nil"/>
              <w:bottom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Measured distribution</w:t>
            </w:r>
          </w:p>
        </w:tc>
        <w:tc>
          <w:tcPr>
            <w:tcBorders>
              <w:top w:color="ffffff"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9">
            <w:pPr>
              <w:widowControl w:val="0"/>
              <w:rPr>
                <w:sz w:val="20"/>
                <w:szCs w:val="20"/>
              </w:rPr>
            </w:pPr>
            <w:r w:rsidDel="00000000" w:rsidR="00000000" w:rsidRPr="00000000">
              <w:rPr>
                <w:sz w:val="20"/>
                <w:szCs w:val="20"/>
                <w:rtl w:val="0"/>
              </w:rPr>
              <w:t xml:space="preserve">older</w:t>
            </w:r>
          </w:p>
        </w:tc>
        <w:tc>
          <w:tcPr>
            <w:tcBorders>
              <w:top w:color="ffffff"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A">
            <w:pPr>
              <w:widowControl w:val="0"/>
              <w:jc w:val="center"/>
              <w:rPr>
                <w:sz w:val="20"/>
                <w:szCs w:val="20"/>
              </w:rPr>
            </w:pPr>
            <w:r w:rsidDel="00000000" w:rsidR="00000000" w:rsidRPr="00000000">
              <w:rPr>
                <w:sz w:val="20"/>
                <w:szCs w:val="20"/>
                <w:rtl w:val="0"/>
              </w:rPr>
              <w:t xml:space="preserve">521</w:t>
            </w:r>
          </w:p>
        </w:tc>
        <w:tc>
          <w:tcPr>
            <w:tcBorders>
              <w:top w:color="ffffff"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B">
            <w:pPr>
              <w:widowControl w:val="0"/>
              <w:jc w:val="center"/>
              <w:rPr>
                <w:sz w:val="20"/>
                <w:szCs w:val="20"/>
              </w:rPr>
            </w:pPr>
            <w:r w:rsidDel="00000000" w:rsidR="00000000" w:rsidRPr="00000000">
              <w:rPr>
                <w:sz w:val="20"/>
                <w:szCs w:val="20"/>
                <w:rtl w:val="0"/>
              </w:rPr>
              <w:t xml:space="preserve">350</w:t>
            </w:r>
          </w:p>
        </w:tc>
        <w:tc>
          <w:tcPr>
            <w:tcBorders>
              <w:top w:color="ffffff"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C">
            <w:pPr>
              <w:widowControl w:val="0"/>
              <w:jc w:val="center"/>
              <w:rPr>
                <w:sz w:val="20"/>
                <w:szCs w:val="20"/>
              </w:rPr>
            </w:pPr>
            <w:r w:rsidDel="00000000" w:rsidR="00000000" w:rsidRPr="00000000">
              <w:rPr>
                <w:sz w:val="20"/>
                <w:szCs w:val="20"/>
                <w:rtl w:val="0"/>
              </w:rPr>
              <w:t xml:space="preserve">173</w:t>
            </w:r>
          </w:p>
        </w:tc>
        <w:tc>
          <w:tcPr>
            <w:tcBorders>
              <w:top w:color="ffffff"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D">
            <w:pPr>
              <w:widowControl w:val="0"/>
              <w:jc w:val="center"/>
              <w:rPr>
                <w:sz w:val="20"/>
                <w:szCs w:val="20"/>
              </w:rPr>
            </w:pPr>
            <w:r w:rsidDel="00000000" w:rsidR="00000000" w:rsidRPr="00000000">
              <w:rPr>
                <w:sz w:val="20"/>
                <w:szCs w:val="20"/>
                <w:rtl w:val="0"/>
              </w:rPr>
              <w:t xml:space="preserve">69</w:t>
            </w:r>
          </w:p>
        </w:tc>
        <w:tc>
          <w:tcPr>
            <w:tcBorders>
              <w:top w:color="ffffff" w:space="0" w:sz="8" w:val="single"/>
              <w:left w:color="000000" w:space="0" w:sz="0" w:val="nil"/>
              <w:bottom w:color="000000" w:space="0" w:sz="0" w:val="nil"/>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2E">
            <w:pPr>
              <w:widowControl w:val="0"/>
              <w:jc w:val="right"/>
              <w:rPr>
                <w:sz w:val="20"/>
                <w:szCs w:val="20"/>
              </w:rPr>
            </w:pPr>
            <w:r w:rsidDel="00000000" w:rsidR="00000000" w:rsidRPr="00000000">
              <w:rPr>
                <w:sz w:val="20"/>
                <w:szCs w:val="20"/>
                <w:rtl w:val="0"/>
              </w:rPr>
              <w:t xml:space="preserve">1.113</w:t>
            </w:r>
          </w:p>
        </w:tc>
      </w:tr>
      <w:tr>
        <w:trPr>
          <w:trHeight w:val="340" w:hRule="atLeast"/>
        </w:trPr>
        <w:tc>
          <w:tcPr>
            <w:gridSpan w:val="3"/>
            <w:tcBorders>
              <w:top w:color="000000" w:space="0" w:sz="0" w:val="nil"/>
              <w:left w:color="000000" w:space="0" w:sz="0" w:val="nil"/>
              <w:bottom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Distribution expected by chance </w:t>
            </w:r>
          </w:p>
        </w:tc>
        <w:tc>
          <w:tcPr>
            <w:tcBorders>
              <w:top w:color="000000" w:space="0" w:sz="0" w:val="nil"/>
              <w:left w:color="000000" w:space="0" w:sz="0" w:val="nil"/>
              <w:bottom w:color="000000"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older</w:t>
            </w:r>
          </w:p>
        </w:tc>
        <w:tc>
          <w:tcPr>
            <w:tcBorders>
              <w:top w:color="000000" w:space="0" w:sz="0" w:val="nil"/>
              <w:left w:color="000000" w:space="0" w:sz="0" w:val="nil"/>
              <w:bottom w:color="000000"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33">
            <w:pPr>
              <w:widowControl w:val="0"/>
              <w:jc w:val="center"/>
              <w:rPr>
                <w:sz w:val="20"/>
                <w:szCs w:val="20"/>
              </w:rPr>
            </w:pPr>
            <w:r w:rsidDel="00000000" w:rsidR="00000000" w:rsidRPr="00000000">
              <w:rPr>
                <w:sz w:val="20"/>
                <w:szCs w:val="20"/>
                <w:rtl w:val="0"/>
              </w:rPr>
              <w:t xml:space="preserve">445</w:t>
            </w:r>
          </w:p>
        </w:tc>
        <w:tc>
          <w:tcPr>
            <w:tcBorders>
              <w:top w:color="000000" w:space="0" w:sz="0" w:val="nil"/>
              <w:left w:color="000000" w:space="0" w:sz="0" w:val="nil"/>
              <w:bottom w:color="000000"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34">
            <w:pPr>
              <w:widowControl w:val="0"/>
              <w:jc w:val="center"/>
              <w:rPr>
                <w:sz w:val="20"/>
                <w:szCs w:val="20"/>
              </w:rPr>
            </w:pPr>
            <w:r w:rsidDel="00000000" w:rsidR="00000000" w:rsidRPr="00000000">
              <w:rPr>
                <w:sz w:val="20"/>
                <w:szCs w:val="20"/>
                <w:rtl w:val="0"/>
              </w:rPr>
              <w:t xml:space="preserve">334</w:t>
            </w:r>
          </w:p>
        </w:tc>
        <w:tc>
          <w:tcPr>
            <w:tcBorders>
              <w:top w:color="000000" w:space="0" w:sz="0" w:val="nil"/>
              <w:left w:color="000000" w:space="0" w:sz="0" w:val="nil"/>
              <w:bottom w:color="000000"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35">
            <w:pPr>
              <w:widowControl w:val="0"/>
              <w:jc w:val="center"/>
              <w:rPr>
                <w:sz w:val="20"/>
                <w:szCs w:val="20"/>
              </w:rPr>
            </w:pPr>
            <w:r w:rsidDel="00000000" w:rsidR="00000000" w:rsidRPr="00000000">
              <w:rPr>
                <w:sz w:val="20"/>
                <w:szCs w:val="20"/>
                <w:rtl w:val="0"/>
              </w:rPr>
              <w:t xml:space="preserve">223</w:t>
            </w:r>
          </w:p>
        </w:tc>
        <w:tc>
          <w:tcPr>
            <w:tcBorders>
              <w:top w:color="000000" w:space="0" w:sz="0" w:val="nil"/>
              <w:left w:color="000000" w:space="0" w:sz="0" w:val="nil"/>
              <w:bottom w:color="000000"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36">
            <w:pPr>
              <w:widowControl w:val="0"/>
              <w:jc w:val="center"/>
              <w:rPr>
                <w:sz w:val="20"/>
                <w:szCs w:val="20"/>
              </w:rPr>
            </w:pPr>
            <w:r w:rsidDel="00000000" w:rsidR="00000000" w:rsidRPr="00000000">
              <w:rPr>
                <w:sz w:val="20"/>
                <w:szCs w:val="20"/>
                <w:rtl w:val="0"/>
              </w:rPr>
              <w:t xml:space="preserve">111</w:t>
            </w:r>
          </w:p>
        </w:tc>
        <w:tc>
          <w:tcPr>
            <w:tcBorders>
              <w:top w:color="000000" w:space="0" w:sz="0" w:val="nil"/>
              <w:left w:color="000000" w:space="0" w:sz="0" w:val="nil"/>
              <w:bottom w:color="000000" w:space="0" w:sz="8"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037">
            <w:pPr>
              <w:widowControl w:val="0"/>
              <w:jc w:val="right"/>
              <w:rPr>
                <w:sz w:val="20"/>
                <w:szCs w:val="20"/>
              </w:rPr>
            </w:pPr>
            <w:r w:rsidDel="00000000" w:rsidR="00000000" w:rsidRPr="00000000">
              <w:rPr>
                <w:sz w:val="20"/>
                <w:szCs w:val="20"/>
                <w:rtl w:val="0"/>
              </w:rPr>
              <w:t xml:space="preserve">1.113</w:t>
            </w:r>
          </w:p>
        </w:tc>
      </w:tr>
    </w:tbl>
    <w:p w:rsidR="00000000" w:rsidDel="00000000" w:rsidP="00000000" w:rsidRDefault="00000000" w:rsidRPr="00000000" w14:paraId="00000038">
      <w:pPr>
        <w:spacing w:line="276" w:lineRule="auto"/>
        <w:rPr>
          <w:b w:val="1"/>
        </w:rPr>
      </w:pPr>
      <w:r w:rsidDel="00000000" w:rsidR="00000000" w:rsidRPr="00000000">
        <w:rPr>
          <w:rtl w:val="0"/>
        </w:rPr>
      </w:r>
    </w:p>
    <w:tbl>
      <w:tblPr>
        <w:tblStyle w:val="Table2"/>
        <w:tblW w:w="9570.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570"/>
        <w:tblGridChange w:id="0">
          <w:tblGrid>
            <w:gridCol w:w="9570"/>
          </w:tblGrid>
        </w:tblGridChange>
      </w:tblGrid>
      <w:tr>
        <w:trPr>
          <w:trHeight w:val="3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76" w:lineRule="auto"/>
              <w:jc w:val="both"/>
              <w:rPr>
                <w:rFonts w:ascii="Calibri" w:cs="Calibri" w:eastAsia="Calibri" w:hAnsi="Calibri"/>
                <w:sz w:val="24"/>
                <w:szCs w:val="24"/>
              </w:rPr>
            </w:pPr>
            <w:r w:rsidDel="00000000" w:rsidR="00000000" w:rsidRPr="00000000">
              <w:rPr>
                <w:b w:val="1"/>
                <w:sz w:val="20"/>
                <w:szCs w:val="20"/>
                <w:rtl w:val="0"/>
              </w:rPr>
              <w:t xml:space="preserve">Figure 6-source data 1</w:t>
            </w:r>
            <w:r w:rsidDel="00000000" w:rsidR="00000000" w:rsidRPr="00000000">
              <w:rPr>
                <w:b w:val="1"/>
                <w:sz w:val="20"/>
                <w:szCs w:val="20"/>
                <w:rtl w:val="0"/>
              </w:rPr>
              <w:t xml:space="preserve">. Tactile misclocalizations compared to chance level. </w:t>
            </w:r>
            <w:r w:rsidDel="00000000" w:rsidR="00000000" w:rsidRPr="00000000">
              <w:rPr>
                <w:sz w:val="20"/>
                <w:szCs w:val="20"/>
                <w:rtl w:val="0"/>
              </w:rPr>
              <w:t xml:space="preserve">Shown are the measured and calculated frequencies (n) of mislocalizations to fingers other than the stimulated one for younger and older adults. The absolute number (n) of mislocalizations to each neighbouring finger (1st, 2nd, 3rd and 4th) was calculated separately for each age group and across the five stimulated digits (D1-D5). Based on the summed amount of the mislocalizations (Sum), the proportional distribution as expected by chance was estimated for comparison. The chance distribution was estimated in a proportional manner, because the combination of the frequencies of mislocalizations from all five digits (D1-D5) results in eight 1st, six 2nd, four 3rd and two 4th neighbouring fingers. In younger adults for example, the total number of mislocalizations was 942, out of which 387 were made to the 1st neighbours of the five stimulated digits (D1-D5). For D1 to D5, there are eight 1st neighbours in total, so based on chance, we would expect that 377 mislocalizations would be addressed to the 1st neighbouring fingers, which is less compared to the number of observed mislocalizations. </w:t>
            </w:r>
            <w:r w:rsidDel="00000000" w:rsidR="00000000" w:rsidRPr="00000000">
              <w:rPr>
                <w:rtl w:val="0"/>
              </w:rPr>
            </w:r>
          </w:p>
        </w:tc>
      </w:tr>
    </w:tbl>
    <w:p w:rsidR="00000000" w:rsidDel="00000000" w:rsidP="00000000" w:rsidRDefault="00000000" w:rsidRPr="00000000" w14:paraId="0000003A">
      <w:pPr>
        <w:spacing w:line="276"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