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9E07690" w:rsidR="00877644" w:rsidRPr="003F3834" w:rsidRDefault="00CF5A4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3F3834">
        <w:rPr>
          <w:rFonts w:ascii="Arial" w:hAnsi="Arial" w:cs="Arial"/>
          <w:sz w:val="22"/>
          <w:szCs w:val="22"/>
        </w:rPr>
        <w:t xml:space="preserve">Our detailed and extensive previously published CNV quantifications </w:t>
      </w:r>
      <w:r w:rsidR="009306EB">
        <w:rPr>
          <w:rFonts w:ascii="Arial" w:hAnsi="Arial" w:cs="Arial"/>
          <w:sz w:val="22"/>
          <w:szCs w:val="22"/>
        </w:rPr>
        <w:t xml:space="preserve">comparing CNV lesions in </w:t>
      </w:r>
      <w:r w:rsidRPr="00BD3707">
        <w:rPr>
          <w:rFonts w:ascii="Arial" w:hAnsi="Arial" w:cs="Arial"/>
          <w:i/>
          <w:iCs/>
          <w:sz w:val="22"/>
          <w:szCs w:val="22"/>
        </w:rPr>
        <w:t>V</w:t>
      </w:r>
      <w:r w:rsidR="00BD3707" w:rsidRPr="00BD3707">
        <w:rPr>
          <w:rFonts w:ascii="Arial" w:hAnsi="Arial" w:cs="Arial"/>
          <w:i/>
          <w:iCs/>
          <w:sz w:val="22"/>
          <w:szCs w:val="22"/>
        </w:rPr>
        <w:t>egfa</w:t>
      </w:r>
      <w:r w:rsidRPr="00BD3707">
        <w:rPr>
          <w:rFonts w:ascii="Arial" w:hAnsi="Arial" w:cs="Arial"/>
          <w:i/>
          <w:iCs/>
          <w:sz w:val="22"/>
          <w:szCs w:val="22"/>
          <w:vertAlign w:val="superscript"/>
        </w:rPr>
        <w:t>hyper</w:t>
      </w:r>
      <w:r w:rsidRPr="00BD3707">
        <w:rPr>
          <w:rFonts w:ascii="Arial" w:hAnsi="Arial" w:cs="Arial"/>
          <w:i/>
          <w:iCs/>
          <w:sz w:val="22"/>
          <w:szCs w:val="22"/>
        </w:rPr>
        <w:t xml:space="preserve"> </w:t>
      </w:r>
      <w:r w:rsidRPr="003F3834">
        <w:rPr>
          <w:rFonts w:ascii="Arial" w:hAnsi="Arial" w:cs="Arial"/>
          <w:sz w:val="22"/>
          <w:szCs w:val="22"/>
        </w:rPr>
        <w:t xml:space="preserve">mice </w:t>
      </w:r>
      <w:r w:rsidR="009306EB">
        <w:rPr>
          <w:rFonts w:ascii="Arial" w:hAnsi="Arial" w:cs="Arial"/>
          <w:sz w:val="22"/>
          <w:szCs w:val="22"/>
        </w:rPr>
        <w:t xml:space="preserve">to those </w:t>
      </w:r>
      <w:r w:rsidR="00E87127" w:rsidRPr="00BD3707">
        <w:rPr>
          <w:rFonts w:ascii="Arial" w:hAnsi="Arial" w:cs="Arial"/>
          <w:i/>
          <w:iCs/>
          <w:sz w:val="22"/>
          <w:szCs w:val="22"/>
        </w:rPr>
        <w:t>V</w:t>
      </w:r>
      <w:r w:rsidR="00BD3707" w:rsidRPr="00BD3707">
        <w:rPr>
          <w:rFonts w:ascii="Arial" w:hAnsi="Arial" w:cs="Arial"/>
          <w:i/>
          <w:iCs/>
          <w:sz w:val="22"/>
          <w:szCs w:val="22"/>
        </w:rPr>
        <w:t>egfa</w:t>
      </w:r>
      <w:r w:rsidR="00E87127" w:rsidRPr="00BD3707">
        <w:rPr>
          <w:rFonts w:ascii="Arial" w:hAnsi="Arial" w:cs="Arial"/>
          <w:i/>
          <w:iCs/>
          <w:sz w:val="22"/>
          <w:szCs w:val="22"/>
          <w:vertAlign w:val="superscript"/>
        </w:rPr>
        <w:t>hyper</w:t>
      </w:r>
      <w:r w:rsidR="00E87127" w:rsidRPr="00BD3707">
        <w:rPr>
          <w:rFonts w:ascii="Arial" w:hAnsi="Arial" w:cs="Arial"/>
          <w:i/>
          <w:iCs/>
          <w:sz w:val="22"/>
          <w:szCs w:val="22"/>
        </w:rPr>
        <w:t xml:space="preserve"> </w:t>
      </w:r>
      <w:r w:rsidR="00E87127" w:rsidRPr="003F3834">
        <w:rPr>
          <w:rFonts w:ascii="Arial" w:hAnsi="Arial" w:cs="Arial"/>
          <w:sz w:val="22"/>
          <w:szCs w:val="22"/>
        </w:rPr>
        <w:t xml:space="preserve">mice </w:t>
      </w:r>
      <w:r w:rsidR="00E87127">
        <w:rPr>
          <w:rFonts w:ascii="Arial" w:hAnsi="Arial" w:cs="Arial"/>
          <w:sz w:val="22"/>
          <w:szCs w:val="22"/>
        </w:rPr>
        <w:t xml:space="preserve"> lacking inflammasome components (e.g. </w:t>
      </w:r>
      <w:r w:rsidRPr="00BD3707">
        <w:rPr>
          <w:rFonts w:ascii="Arial" w:hAnsi="Arial" w:cs="Arial"/>
          <w:i/>
          <w:iCs/>
          <w:sz w:val="22"/>
          <w:szCs w:val="22"/>
        </w:rPr>
        <w:t>V</w:t>
      </w:r>
      <w:r w:rsidR="00BD3707" w:rsidRPr="00BD3707">
        <w:rPr>
          <w:rFonts w:ascii="Arial" w:hAnsi="Arial" w:cs="Arial"/>
          <w:i/>
          <w:iCs/>
          <w:sz w:val="22"/>
          <w:szCs w:val="22"/>
        </w:rPr>
        <w:t>egfa</w:t>
      </w:r>
      <w:r w:rsidRPr="00BD3707">
        <w:rPr>
          <w:rFonts w:ascii="Arial" w:hAnsi="Arial" w:cs="Arial"/>
          <w:i/>
          <w:iCs/>
          <w:sz w:val="22"/>
          <w:szCs w:val="22"/>
          <w:vertAlign w:val="superscript"/>
        </w:rPr>
        <w:t>hyper</w:t>
      </w:r>
      <w:r w:rsidRPr="00BD3707">
        <w:rPr>
          <w:rFonts w:ascii="Arial" w:hAnsi="Arial" w:cs="Arial"/>
          <w:i/>
          <w:iCs/>
          <w:sz w:val="22"/>
          <w:szCs w:val="22"/>
        </w:rPr>
        <w:t>N</w:t>
      </w:r>
      <w:r w:rsidR="00BD3707" w:rsidRPr="00BD3707">
        <w:rPr>
          <w:rFonts w:ascii="Arial" w:hAnsi="Arial" w:cs="Arial"/>
          <w:i/>
          <w:iCs/>
          <w:sz w:val="22"/>
          <w:szCs w:val="22"/>
        </w:rPr>
        <w:t>lrp3</w:t>
      </w:r>
      <w:r w:rsidR="00BD3707" w:rsidRPr="00BD3707">
        <w:rPr>
          <w:rFonts w:ascii="Arial" w:hAnsi="Arial" w:cs="Arial"/>
          <w:i/>
          <w:iCs/>
          <w:sz w:val="22"/>
          <w:szCs w:val="22"/>
          <w:vertAlign w:val="superscript"/>
        </w:rPr>
        <w:t>-/-</w:t>
      </w:r>
      <w:r w:rsidRPr="003F3834">
        <w:rPr>
          <w:rFonts w:ascii="Arial" w:hAnsi="Arial" w:cs="Arial"/>
          <w:sz w:val="22"/>
          <w:szCs w:val="22"/>
        </w:rPr>
        <w:t xml:space="preserve"> mice</w:t>
      </w:r>
      <w:r w:rsidR="00E87127">
        <w:rPr>
          <w:rFonts w:ascii="Arial" w:hAnsi="Arial" w:cs="Arial"/>
          <w:sz w:val="22"/>
          <w:szCs w:val="22"/>
        </w:rPr>
        <w:t>)</w:t>
      </w:r>
      <w:r w:rsidRPr="003F3834">
        <w:rPr>
          <w:rFonts w:ascii="Arial" w:hAnsi="Arial" w:cs="Arial"/>
          <w:sz w:val="22"/>
          <w:szCs w:val="22"/>
        </w:rPr>
        <w:t xml:space="preserve"> </w:t>
      </w:r>
      <w:r w:rsidR="003F3834">
        <w:rPr>
          <w:rFonts w:ascii="Arial" w:hAnsi="Arial" w:cs="Arial"/>
          <w:sz w:val="22"/>
          <w:szCs w:val="22"/>
        </w:rPr>
        <w:t>informed</w:t>
      </w:r>
      <w:r w:rsidRPr="003F3834">
        <w:rPr>
          <w:rFonts w:ascii="Arial" w:hAnsi="Arial" w:cs="Arial"/>
          <w:sz w:val="22"/>
          <w:szCs w:val="22"/>
        </w:rPr>
        <w:t xml:space="preserve"> sample size requirements for CNV quantifications in this mouse model of AMD (Marneros, 2016, EMBO Mol Med). </w:t>
      </w:r>
      <w:r w:rsidR="00E87127">
        <w:rPr>
          <w:rFonts w:ascii="Arial" w:hAnsi="Arial" w:cs="Arial"/>
          <w:sz w:val="22"/>
          <w:szCs w:val="22"/>
        </w:rPr>
        <w:t>This information is provided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7841301" w:rsidR="00B330BD" w:rsidRPr="007F2F47" w:rsidRDefault="003F383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7F2F47">
        <w:rPr>
          <w:rFonts w:ascii="Arial" w:hAnsi="Arial" w:cs="Arial"/>
          <w:sz w:val="22"/>
          <w:szCs w:val="22"/>
        </w:rPr>
        <w:t xml:space="preserve">Each figure and figure legend describes the number of </w:t>
      </w:r>
      <w:r w:rsidR="007F2F47" w:rsidRPr="007F2F47">
        <w:rPr>
          <w:rFonts w:ascii="Arial" w:hAnsi="Arial" w:cs="Arial"/>
          <w:sz w:val="22"/>
          <w:szCs w:val="22"/>
        </w:rPr>
        <w:t>biological replicates</w:t>
      </w:r>
      <w:r w:rsidRPr="007F2F47">
        <w:rPr>
          <w:rFonts w:ascii="Arial" w:hAnsi="Arial" w:cs="Arial"/>
          <w:sz w:val="22"/>
          <w:szCs w:val="22"/>
        </w:rPr>
        <w:t xml:space="preserve"> used</w:t>
      </w:r>
      <w:r w:rsidR="007F2F47" w:rsidRPr="007F2F47">
        <w:rPr>
          <w:rFonts w:ascii="Arial" w:hAnsi="Arial" w:cs="Arial"/>
          <w:sz w:val="22"/>
          <w:szCs w:val="22"/>
        </w:rPr>
        <w:t xml:space="preserve"> and the statistical approach (described in the 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E90C15E" w:rsidR="0015519A" w:rsidRPr="007F2F47" w:rsidRDefault="007F2F4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7F2F47">
        <w:rPr>
          <w:rFonts w:ascii="Arial" w:hAnsi="Arial" w:cs="Arial"/>
          <w:sz w:val="22"/>
          <w:szCs w:val="22"/>
        </w:rPr>
        <w:t xml:space="preserve">All this information is provided in the </w:t>
      </w:r>
      <w:r w:rsidR="007A2E4B">
        <w:rPr>
          <w:rFonts w:ascii="Arial" w:hAnsi="Arial" w:cs="Arial"/>
          <w:sz w:val="22"/>
          <w:szCs w:val="22"/>
        </w:rPr>
        <w:t xml:space="preserve">result section, the </w:t>
      </w:r>
      <w:r w:rsidRPr="007F2F47">
        <w:rPr>
          <w:rFonts w:ascii="Arial" w:hAnsi="Arial" w:cs="Arial"/>
          <w:sz w:val="22"/>
          <w:szCs w:val="22"/>
        </w:rPr>
        <w:t xml:space="preserve">figures and figure legends. </w:t>
      </w:r>
      <w:r w:rsidR="00393CC4">
        <w:rPr>
          <w:rFonts w:ascii="Arial" w:hAnsi="Arial" w:cs="Arial"/>
          <w:sz w:val="22"/>
          <w:szCs w:val="22"/>
        </w:rPr>
        <w:t>Exact p-values are shown.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7DAD58EC" w14:textId="69208C1C" w:rsidR="009306EB" w:rsidRPr="00E87127" w:rsidRDefault="009306EB" w:rsidP="00E87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E87127">
        <w:rPr>
          <w:rFonts w:ascii="Arial" w:hAnsi="Arial" w:cs="Arial"/>
          <w:sz w:val="22"/>
          <w:szCs w:val="22"/>
        </w:rPr>
        <w:t xml:space="preserve">We describe randomization and blinding to allow for unbiased CNV quantifications in the METHODS section: </w:t>
      </w:r>
    </w:p>
    <w:p w14:paraId="7604E824" w14:textId="6134ECD3" w:rsidR="009306EB" w:rsidRPr="00E87127" w:rsidRDefault="009306EB" w:rsidP="00E87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51EE9A3C" w14:textId="77777777" w:rsidR="007A2E4B" w:rsidRPr="00E87127" w:rsidRDefault="007A2E4B" w:rsidP="00E87127">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spacing w:after="100"/>
        <w:contextualSpacing/>
        <w:jc w:val="both"/>
        <w:outlineLvl w:val="0"/>
        <w:rPr>
          <w:rFonts w:ascii="Arial" w:eastAsia="Times" w:hAnsi="Arial" w:cs="Arial"/>
          <w:b/>
          <w:i/>
          <w:color w:val="000000" w:themeColor="text1"/>
          <w:sz w:val="22"/>
          <w:szCs w:val="22"/>
        </w:rPr>
      </w:pPr>
      <w:r w:rsidRPr="00E87127">
        <w:rPr>
          <w:rFonts w:ascii="Arial" w:eastAsia="Calibri" w:hAnsi="Arial" w:cs="Arial"/>
          <w:b/>
          <w:i/>
          <w:color w:val="000000" w:themeColor="text1"/>
          <w:sz w:val="22"/>
          <w:szCs w:val="22"/>
        </w:rPr>
        <w:t>Quantification</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of</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the</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size</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and</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number</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of</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CNV</w:t>
      </w:r>
      <w:r w:rsidRPr="00E87127">
        <w:rPr>
          <w:rFonts w:ascii="Arial" w:eastAsia="Times" w:hAnsi="Arial" w:cs="Arial"/>
          <w:b/>
          <w:i/>
          <w:color w:val="000000" w:themeColor="text1"/>
          <w:sz w:val="22"/>
          <w:szCs w:val="22"/>
        </w:rPr>
        <w:t xml:space="preserve"> </w:t>
      </w:r>
      <w:r w:rsidRPr="00E87127">
        <w:rPr>
          <w:rFonts w:ascii="Arial" w:eastAsia="Calibri" w:hAnsi="Arial" w:cs="Arial"/>
          <w:b/>
          <w:i/>
          <w:color w:val="000000" w:themeColor="text1"/>
          <w:sz w:val="22"/>
          <w:szCs w:val="22"/>
        </w:rPr>
        <w:t>lesions</w:t>
      </w:r>
    </w:p>
    <w:p w14:paraId="466E47D3" w14:textId="3439BB82" w:rsidR="009306EB" w:rsidRPr="00E87127" w:rsidRDefault="009306EB" w:rsidP="00E871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eastAsia="Calibri" w:hAnsi="Arial" w:cs="Arial"/>
          <w:color w:val="000000" w:themeColor="text1"/>
          <w:sz w:val="22"/>
          <w:szCs w:val="22"/>
        </w:rPr>
      </w:pPr>
      <w:r w:rsidRPr="00E87127">
        <w:rPr>
          <w:rFonts w:ascii="Arial" w:hAnsi="Arial" w:cs="Arial"/>
          <w:color w:val="000000" w:themeColor="text1"/>
          <w:sz w:val="22"/>
          <w:szCs w:val="22"/>
        </w:rPr>
        <w:t>Allocation, treatment and handling of mice were the same across study groups. For all mice randomization was performed and data were collected and processed randomly. Investigators quantifying CNV lesions were blinded to the genotype of the mice.</w:t>
      </w:r>
      <w:r w:rsidRPr="00E87127">
        <w:rPr>
          <w:rFonts w:ascii="Arial" w:eastAsia="Calibri" w:hAnsi="Arial" w:cs="Arial"/>
          <w:color w:val="000000" w:themeColor="text1"/>
          <w:sz w:val="22"/>
          <w:szCs w:val="22"/>
        </w:rPr>
        <w:t xml:space="preserve"> We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used</w:t>
      </w:r>
      <w:r w:rsidRPr="00E87127">
        <w:rPr>
          <w:rFonts w:ascii="Arial" w:eastAsia="Times" w:hAnsi="Arial" w:cs="Arial"/>
          <w:color w:val="000000" w:themeColor="text1"/>
          <w:sz w:val="22"/>
          <w:szCs w:val="22"/>
        </w:rPr>
        <w:t xml:space="preserve"> 6-weeks-old </w:t>
      </w:r>
      <w:r w:rsidRPr="00E87127">
        <w:rPr>
          <w:rFonts w:ascii="Arial" w:eastAsia="Calibri" w:hAnsi="Arial" w:cs="Arial"/>
          <w:color w:val="000000" w:themeColor="text1"/>
          <w:sz w:val="22"/>
          <w:szCs w:val="22"/>
        </w:rPr>
        <w:t>mice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for</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all</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CNV</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quantifications in order to have a uniform age-controlled population of mice in which early stages of CNV lesions are present.</w:t>
      </w:r>
      <w:r w:rsidR="007A2E4B" w:rsidRPr="00E87127">
        <w:rPr>
          <w:rFonts w:ascii="Arial" w:eastAsia="Calibri" w:hAnsi="Arial" w:cs="Arial"/>
          <w:color w:val="000000" w:themeColor="text1"/>
          <w:sz w:val="22"/>
          <w:szCs w:val="22"/>
        </w:rPr>
        <w:t xml:space="preserve">  ….</w:t>
      </w:r>
    </w:p>
    <w:p w14:paraId="3C8AD5AA" w14:textId="0DA550EC" w:rsidR="00E87127" w:rsidRPr="00E87127" w:rsidRDefault="009306EB" w:rsidP="00E87127">
      <w:pPr>
        <w:framePr w:w="7817" w:h="1088" w:hSpace="180" w:wrap="around" w:vAnchor="text" w:hAnchor="page" w:x="1904" w:y="1"/>
        <w:pBdr>
          <w:top w:val="single" w:sz="6" w:space="1" w:color="auto"/>
          <w:left w:val="single" w:sz="6" w:space="1" w:color="auto"/>
          <w:bottom w:val="single" w:sz="6" w:space="1" w:color="auto"/>
          <w:right w:val="single" w:sz="6" w:space="1" w:color="auto"/>
        </w:pBdr>
        <w:tabs>
          <w:tab w:val="left" w:pos="4680"/>
        </w:tabs>
        <w:jc w:val="both"/>
        <w:rPr>
          <w:rFonts w:ascii="Arial" w:eastAsia="Calibri" w:hAnsi="Arial" w:cs="Arial"/>
          <w:color w:val="000000" w:themeColor="text1"/>
          <w:sz w:val="22"/>
          <w:szCs w:val="22"/>
        </w:rPr>
      </w:pPr>
      <w:r w:rsidRPr="00E87127">
        <w:rPr>
          <w:rFonts w:ascii="Arial" w:eastAsia="Calibri" w:hAnsi="Arial" w:cs="Arial"/>
          <w:color w:val="000000" w:themeColor="text1"/>
          <w:sz w:val="22"/>
          <w:szCs w:val="22"/>
        </w:rPr>
        <w:t>Genotyping</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information</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was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concealed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when</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lesion</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sizes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and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numbers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were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determined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to</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ensure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unbiased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analysis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Results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were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subsequently</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assigned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to</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genotypes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and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differences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between</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mouse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strains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were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determined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P</w:t>
      </w:r>
      <w:r w:rsidRPr="00E87127">
        <w:rPr>
          <w:rFonts w:ascii="Arial" w:eastAsia="Times" w:hAnsi="Arial" w:cs="Arial"/>
          <w:color w:val="000000" w:themeColor="text1"/>
          <w:sz w:val="22"/>
          <w:szCs w:val="22"/>
        </w:rPr>
        <w:t>-</w:t>
      </w:r>
      <w:r w:rsidRPr="00E87127">
        <w:rPr>
          <w:rFonts w:ascii="Arial" w:eastAsia="Calibri" w:hAnsi="Arial" w:cs="Arial"/>
          <w:color w:val="000000" w:themeColor="text1"/>
          <w:sz w:val="22"/>
          <w:szCs w:val="22"/>
        </w:rPr>
        <w:t>values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were</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calculated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with</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a</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two</w:t>
      </w:r>
      <w:r w:rsidRPr="00E87127">
        <w:rPr>
          <w:rFonts w:ascii="Arial" w:eastAsia="Times" w:hAnsi="Arial" w:cs="Arial"/>
          <w:color w:val="000000" w:themeColor="text1"/>
          <w:sz w:val="22"/>
          <w:szCs w:val="22"/>
        </w:rPr>
        <w:t>-</w:t>
      </w:r>
      <w:r w:rsidRPr="00E87127">
        <w:rPr>
          <w:rFonts w:ascii="Arial" w:eastAsia="Calibri" w:hAnsi="Arial" w:cs="Arial"/>
          <w:color w:val="000000" w:themeColor="text1"/>
          <w:sz w:val="22"/>
          <w:szCs w:val="22"/>
        </w:rPr>
        <w:t>tailed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unpaired</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Students</w:t>
      </w:r>
      <w:r w:rsidRPr="00E87127">
        <w:rPr>
          <w:rFonts w:ascii="Arial" w:eastAsia="Times" w:hAnsi="Arial" w:cs="Arial"/>
          <w:color w:val="000000" w:themeColor="text1"/>
          <w:sz w:val="22"/>
          <w:szCs w:val="22"/>
        </w:rPr>
        <w:t xml:space="preserve"> </w:t>
      </w:r>
      <w:r w:rsidRPr="00E87127">
        <w:rPr>
          <w:rFonts w:ascii="Arial" w:eastAsia="Calibri" w:hAnsi="Arial" w:cs="Arial"/>
          <w:color w:val="000000" w:themeColor="text1"/>
          <w:sz w:val="22"/>
          <w:szCs w:val="22"/>
        </w:rPr>
        <w:t>t</w:t>
      </w:r>
      <w:r w:rsidRPr="00E87127">
        <w:rPr>
          <w:rFonts w:ascii="Arial" w:eastAsia="Times" w:hAnsi="Arial" w:cs="Arial"/>
          <w:color w:val="000000" w:themeColor="text1"/>
          <w:sz w:val="22"/>
          <w:szCs w:val="22"/>
        </w:rPr>
        <w:t>-</w:t>
      </w:r>
      <w:r w:rsidRPr="00E87127">
        <w:rPr>
          <w:rFonts w:ascii="Arial" w:eastAsia="Calibri" w:hAnsi="Arial" w:cs="Arial"/>
          <w:color w:val="000000" w:themeColor="text1"/>
          <w:sz w:val="22"/>
          <w:szCs w:val="22"/>
        </w:rPr>
        <w:t>test</w:t>
      </w:r>
      <w:r w:rsidRPr="00E87127">
        <w:rPr>
          <w:rFonts w:ascii="Arial" w:eastAsia="Times" w:hAnsi="Arial" w:cs="Arial"/>
          <w:color w:val="000000" w:themeColor="text1"/>
          <w:sz w:val="22"/>
          <w:szCs w:val="22"/>
        </w:rPr>
        <w:t>.</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CNV</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lesion</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number</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and</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average</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CNV</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area</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per</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mouse</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are</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shown</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Prism</w:t>
      </w:r>
      <w:r w:rsidR="00E87127" w:rsidRPr="00E87127">
        <w:rPr>
          <w:rFonts w:ascii="Arial" w:eastAsia="Times" w:hAnsi="Arial" w:cs="Arial"/>
          <w:color w:val="000000" w:themeColor="text1"/>
          <w:sz w:val="22"/>
          <w:szCs w:val="22"/>
        </w:rPr>
        <w:t xml:space="preserve"> 7.0</w:t>
      </w:r>
      <w:r w:rsidR="00E87127" w:rsidRPr="00E87127">
        <w:rPr>
          <w:rFonts w:ascii="Arial" w:eastAsia="Calibri" w:hAnsi="Arial" w:cs="Arial"/>
          <w:color w:val="000000" w:themeColor="text1"/>
          <w:sz w:val="22"/>
          <w:szCs w:val="22"/>
        </w:rPr>
        <w:t>a</w:t>
      </w:r>
      <w:r w:rsidR="00E87127" w:rsidRPr="00E87127">
        <w:rPr>
          <w:rFonts w:ascii="Arial" w:eastAsia="Times" w:hAnsi="Arial" w:cs="Arial"/>
          <w:color w:val="000000" w:themeColor="text1"/>
          <w:sz w:val="22"/>
          <w:szCs w:val="22"/>
        </w:rPr>
        <w:t xml:space="preserve">, </w:t>
      </w:r>
      <w:r w:rsidR="00E87127" w:rsidRPr="00E87127">
        <w:rPr>
          <w:rFonts w:ascii="Arial" w:eastAsia="Calibri" w:hAnsi="Arial" w:cs="Arial"/>
          <w:color w:val="000000" w:themeColor="text1"/>
          <w:sz w:val="22"/>
          <w:szCs w:val="22"/>
        </w:rPr>
        <w:t>GraphPad</w:t>
      </w:r>
      <w:r w:rsidR="00E87127" w:rsidRPr="00E87127">
        <w:rPr>
          <w:rFonts w:ascii="Arial" w:eastAsia="Times" w:hAnsi="Arial" w:cs="Arial"/>
          <w:color w:val="000000" w:themeColor="text1"/>
          <w:sz w:val="22"/>
          <w:szCs w:val="22"/>
        </w:rPr>
        <w:t xml:space="preserve">). Sample size requirements were determined based on our previous CNV quantifications in </w:t>
      </w:r>
      <w:r w:rsidR="00E87127" w:rsidRPr="00BD3707">
        <w:rPr>
          <w:rFonts w:ascii="Arial" w:eastAsia="Times" w:hAnsi="Arial" w:cs="Arial"/>
          <w:i/>
          <w:iCs/>
          <w:color w:val="000000" w:themeColor="text1"/>
          <w:sz w:val="22"/>
          <w:szCs w:val="22"/>
        </w:rPr>
        <w:t>V</w:t>
      </w:r>
      <w:r w:rsidR="00BD3707" w:rsidRPr="00BD3707">
        <w:rPr>
          <w:rFonts w:ascii="Arial" w:eastAsia="Times" w:hAnsi="Arial" w:cs="Arial"/>
          <w:i/>
          <w:iCs/>
          <w:color w:val="000000" w:themeColor="text1"/>
          <w:sz w:val="22"/>
          <w:szCs w:val="22"/>
        </w:rPr>
        <w:t>egfa</w:t>
      </w:r>
      <w:r w:rsidR="00E87127" w:rsidRPr="00BD3707">
        <w:rPr>
          <w:rFonts w:ascii="Arial" w:eastAsia="Times" w:hAnsi="Arial" w:cs="Arial"/>
          <w:i/>
          <w:iCs/>
          <w:color w:val="000000" w:themeColor="text1"/>
          <w:sz w:val="22"/>
          <w:szCs w:val="22"/>
          <w:vertAlign w:val="superscript"/>
        </w:rPr>
        <w:t>hyper</w:t>
      </w:r>
      <w:r w:rsidR="00E87127" w:rsidRPr="00E87127">
        <w:rPr>
          <w:rFonts w:ascii="Arial" w:eastAsia="Times" w:hAnsi="Arial" w:cs="Arial"/>
          <w:color w:val="000000" w:themeColor="text1"/>
          <w:sz w:val="22"/>
          <w:szCs w:val="22"/>
        </w:rPr>
        <w:t xml:space="preserve"> mice and those lacking inflammasome components </w:t>
      </w:r>
      <w:r w:rsidR="00E87127" w:rsidRPr="00E87127">
        <w:rPr>
          <w:rFonts w:ascii="Arial" w:eastAsia="Times" w:hAnsi="Arial" w:cs="Arial"/>
          <w:color w:val="000000" w:themeColor="text1"/>
          <w:sz w:val="22"/>
          <w:szCs w:val="22"/>
        </w:rPr>
        <w:fldChar w:fldCharType="begin"/>
      </w:r>
      <w:r w:rsidR="00E87127" w:rsidRPr="00E87127">
        <w:rPr>
          <w:rFonts w:ascii="Arial" w:eastAsia="Times" w:hAnsi="Arial" w:cs="Arial"/>
          <w:color w:val="000000" w:themeColor="text1"/>
          <w:sz w:val="22"/>
          <w:szCs w:val="22"/>
        </w:rPr>
        <w:instrText xml:space="preserve"> ADDIN EN.CITE &lt;EndNote&gt;&lt;Cite&gt;&lt;Author&gt;Marneros&lt;/Author&gt;&lt;Year&gt;2016&lt;/Year&gt;&lt;RecNum&gt;1195&lt;/RecNum&gt;&lt;DisplayText&gt;(Marneros, 2016)&lt;/DisplayText&gt;&lt;record&gt;&lt;rec-number&gt;1195&lt;/rec-number&gt;&lt;foreign-keys&gt;&lt;key app="EN" db-id="afvfzt2xxf2waaetvtxxvax02de00vvrsx9r" timestamp="0"&gt;1195&lt;/key&gt;&lt;/foreign-keys&gt;&lt;ref-type name="Journal Article"&gt;17&lt;/ref-type&gt;&lt;contributors&gt;&lt;authors&gt;&lt;author&gt;Marneros, A. G.&lt;/author&gt;&lt;/authors&gt;&lt;/contributors&gt;&lt;auth-address&gt;Cutaneous Biology Research Center, Massachusetts General Hospital, Charlestown, MA, USA Department of Dermatology, Harvard Medical School, Boston, MA, USA amarneros@mgh.harvard.edu.&lt;/auth-address&gt;&lt;titles&gt;&lt;title&gt;Increased VEGF-A promotes multiple distinct aging diseases of the eye through shared pathomechanisms&lt;/title&gt;&lt;secondary-title&gt;EMBO Mol Med&lt;/secondary-title&gt;&lt;/titles&gt;&lt;pages&gt;208-231&lt;/pages&gt;&lt;volume&gt;8&lt;/volume&gt;&lt;keywords&gt;&lt;keyword&gt;NLRP3 inflammasome&lt;/keyword&gt;&lt;keyword&gt;Vegf-a&lt;/keyword&gt;&lt;keyword&gt;age-related macular degeneration&lt;/keyword&gt;&lt;keyword&gt;aging&lt;/keyword&gt;&lt;keyword&gt;cataract&lt;/keyword&gt;&lt;/keywords&gt;&lt;dates&gt;&lt;year&gt;2016&lt;/year&gt;&lt;pub-dates&gt;&lt;date&gt;Feb 24&lt;/date&gt;&lt;/pub-dates&gt;&lt;/dates&gt;&lt;isbn&gt;1757-4684 (Electronic)&amp;#xD;1757-4676 (Linking)&lt;/isbn&gt;&lt;accession-num&gt;26912740&lt;/accession-num&gt;&lt;urls&gt;&lt;related-urls&gt;&lt;url&gt;http://www.ncbi.nlm.nih.gov/pubmed/26912740&lt;/url&gt;&lt;/related-urls&gt;&lt;/urls&gt;&lt;electronic-resource-num&gt;10.15252/emmm.201505613&lt;/electronic-resource-num&gt;&lt;/record&gt;&lt;/Cite&gt;&lt;/EndNote&gt;</w:instrText>
      </w:r>
      <w:r w:rsidR="00E87127" w:rsidRPr="00E87127">
        <w:rPr>
          <w:rFonts w:ascii="Arial" w:eastAsia="Times" w:hAnsi="Arial" w:cs="Arial"/>
          <w:color w:val="000000" w:themeColor="text1"/>
          <w:sz w:val="22"/>
          <w:szCs w:val="22"/>
        </w:rPr>
        <w:fldChar w:fldCharType="separate"/>
      </w:r>
      <w:r w:rsidR="00E87127" w:rsidRPr="00E87127">
        <w:rPr>
          <w:rFonts w:ascii="Arial" w:eastAsia="Times" w:hAnsi="Arial" w:cs="Arial"/>
          <w:noProof/>
          <w:color w:val="000000" w:themeColor="text1"/>
          <w:sz w:val="22"/>
          <w:szCs w:val="22"/>
        </w:rPr>
        <w:t>(Marneros, 2016)</w:t>
      </w:r>
      <w:r w:rsidR="00E87127" w:rsidRPr="00E87127">
        <w:rPr>
          <w:rFonts w:ascii="Arial" w:eastAsia="Times" w:hAnsi="Arial" w:cs="Arial"/>
          <w:color w:val="000000" w:themeColor="text1"/>
          <w:sz w:val="22"/>
          <w:szCs w:val="22"/>
        </w:rPr>
        <w:fldChar w:fldCharType="end"/>
      </w:r>
      <w:r w:rsidR="00E87127" w:rsidRPr="00E87127">
        <w:rPr>
          <w:rFonts w:ascii="Arial" w:eastAsia="Times" w:hAnsi="Arial" w:cs="Arial"/>
          <w:color w:val="000000" w:themeColor="text1"/>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46FD4E3"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15B34" w14:textId="77777777" w:rsidR="000E21D1" w:rsidRDefault="000E21D1" w:rsidP="004215FE">
      <w:r>
        <w:separator/>
      </w:r>
    </w:p>
  </w:endnote>
  <w:endnote w:type="continuationSeparator" w:id="0">
    <w:p w14:paraId="7548992C" w14:textId="77777777" w:rsidR="000E21D1" w:rsidRDefault="000E21D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5CAA9" w14:textId="77777777" w:rsidR="000E21D1" w:rsidRDefault="000E21D1" w:rsidP="004215FE">
      <w:r>
        <w:separator/>
      </w:r>
    </w:p>
  </w:footnote>
  <w:footnote w:type="continuationSeparator" w:id="0">
    <w:p w14:paraId="21B3443B" w14:textId="77777777" w:rsidR="000E21D1" w:rsidRDefault="000E21D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21D1"/>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41EE"/>
    <w:rsid w:val="00266462"/>
    <w:rsid w:val="002A068D"/>
    <w:rsid w:val="002A0ED1"/>
    <w:rsid w:val="002A7487"/>
    <w:rsid w:val="00307F5D"/>
    <w:rsid w:val="003248ED"/>
    <w:rsid w:val="00370080"/>
    <w:rsid w:val="00393CC4"/>
    <w:rsid w:val="003F19A6"/>
    <w:rsid w:val="003F3834"/>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1A55"/>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A2E4B"/>
    <w:rsid w:val="007B6567"/>
    <w:rsid w:val="007B6D8A"/>
    <w:rsid w:val="007B7AF0"/>
    <w:rsid w:val="007C1A97"/>
    <w:rsid w:val="007D18C3"/>
    <w:rsid w:val="007E54D8"/>
    <w:rsid w:val="007E5880"/>
    <w:rsid w:val="007F2F47"/>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06EB"/>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3707"/>
    <w:rsid w:val="00C1184B"/>
    <w:rsid w:val="00C21D14"/>
    <w:rsid w:val="00C24CF7"/>
    <w:rsid w:val="00C42ECB"/>
    <w:rsid w:val="00C52A77"/>
    <w:rsid w:val="00C820B0"/>
    <w:rsid w:val="00CC6EF3"/>
    <w:rsid w:val="00CD6AEC"/>
    <w:rsid w:val="00CE6849"/>
    <w:rsid w:val="00CF4BBE"/>
    <w:rsid w:val="00CF5A4C"/>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87127"/>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446FFB8-3B35-D04C-9DDF-F99BFF8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Marneros, Alexander G.,M.D.,Ph.D.</cp:lastModifiedBy>
  <cp:revision>2</cp:revision>
  <dcterms:created xsi:type="dcterms:W3CDTF">2020-09-21T16:59:00Z</dcterms:created>
  <dcterms:modified xsi:type="dcterms:W3CDTF">2020-09-21T16:59:00Z</dcterms:modified>
</cp:coreProperties>
</file>