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920F45">
        <w:fldChar w:fldCharType="begin"/>
      </w:r>
      <w:r w:rsidR="00920F45">
        <w:instrText xml:space="preserve"> HYPERLINK "https://biosharing.org/" \t "_blank" </w:instrText>
      </w:r>
      <w:r w:rsidR="00920F45">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920F45">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DDE2AC7" w14:textId="77777777" w:rsidR="00B77321" w:rsidRPr="00047256" w:rsidRDefault="00B77321" w:rsidP="00B7732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7256">
        <w:rPr>
          <w:rFonts w:asciiTheme="minorHAnsi" w:hAnsiTheme="minorHAnsi"/>
          <w:sz w:val="22"/>
          <w:szCs w:val="22"/>
        </w:rPr>
        <w:t>No statistical methods were used to pre-determine sample size. Adequate sample sizes were determined through experience gained in previous studies investigating the use of poison gland secretions as topical disinfectant:</w:t>
      </w:r>
    </w:p>
    <w:p w14:paraId="1F1BB9E9" w14:textId="0BCB1891" w:rsidR="00B77321" w:rsidRPr="00047256" w:rsidRDefault="00B77321" w:rsidP="00B7732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7256">
        <w:rPr>
          <w:rFonts w:asciiTheme="minorHAnsi" w:hAnsiTheme="minorHAnsi"/>
          <w:sz w:val="22"/>
          <w:szCs w:val="22"/>
        </w:rPr>
        <w:t xml:space="preserve">-Tragust, S. et al. 2013 Ants disinfect fungus-exposed brood by oral uptake and spread of their poison. </w:t>
      </w:r>
      <w:proofErr w:type="spellStart"/>
      <w:r w:rsidRPr="00047256">
        <w:rPr>
          <w:rFonts w:asciiTheme="minorHAnsi" w:hAnsiTheme="minorHAnsi"/>
          <w:sz w:val="22"/>
          <w:szCs w:val="22"/>
        </w:rPr>
        <w:t>Curr</w:t>
      </w:r>
      <w:proofErr w:type="spellEnd"/>
      <w:r w:rsidRPr="00047256">
        <w:rPr>
          <w:rFonts w:asciiTheme="minorHAnsi" w:hAnsiTheme="minorHAnsi"/>
          <w:sz w:val="22"/>
          <w:szCs w:val="22"/>
        </w:rPr>
        <w:t xml:space="preserve"> Biol 23, 76-82.</w:t>
      </w:r>
    </w:p>
    <w:p w14:paraId="283305D7" w14:textId="1BE003B8" w:rsidR="00877644" w:rsidRPr="00047256" w:rsidRDefault="00B77321" w:rsidP="00B7732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7256">
        <w:rPr>
          <w:rFonts w:asciiTheme="minorHAnsi" w:hAnsiTheme="minorHAnsi"/>
          <w:sz w:val="22"/>
          <w:szCs w:val="22"/>
        </w:rPr>
        <w:t>-Pull, C. D. et al. 2018 Destructive disinfection of infected brood prevents systemic disease spread in ant colonies. eLife 7, e32073.</w:t>
      </w:r>
    </w:p>
    <w:p w14:paraId="7BFB6CE7" w14:textId="2D2ABF3E" w:rsidR="00B77321" w:rsidRPr="00047256" w:rsidRDefault="00B77321" w:rsidP="00B7732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7256">
        <w:rPr>
          <w:rFonts w:asciiTheme="minorHAnsi" w:hAnsiTheme="minorHAnsi"/>
          <w:sz w:val="22"/>
          <w:szCs w:val="22"/>
        </w:rPr>
        <w:t>Sample sizes, including number of workers per ant colony as well as number of ant colonies, are reported in the materials and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099A965" w:rsidR="00B330BD" w:rsidRPr="00047256" w:rsidRDefault="00B77321" w:rsidP="0004725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7256">
        <w:rPr>
          <w:rFonts w:asciiTheme="minorHAnsi" w:hAnsiTheme="minorHAnsi"/>
          <w:sz w:val="22"/>
          <w:szCs w:val="22"/>
        </w:rPr>
        <w:lastRenderedPageBreak/>
        <w:t>All experimental findings reported in this study are based on replicated data</w:t>
      </w:r>
      <w:r w:rsidR="00DC0101">
        <w:rPr>
          <w:rFonts w:asciiTheme="minorHAnsi" w:hAnsiTheme="minorHAnsi"/>
          <w:sz w:val="22"/>
          <w:szCs w:val="22"/>
        </w:rPr>
        <w:t xml:space="preserve"> (biological replicates)</w:t>
      </w:r>
      <w:r w:rsidRPr="00047256">
        <w:rPr>
          <w:rFonts w:asciiTheme="minorHAnsi" w:hAnsiTheme="minorHAnsi"/>
          <w:sz w:val="22"/>
          <w:szCs w:val="22"/>
        </w:rPr>
        <w:t xml:space="preserve"> obtained from several colonies of the same ant species or from colony fragments of several different ant species. </w:t>
      </w:r>
    </w:p>
    <w:p w14:paraId="506C0B3F" w14:textId="4D778278" w:rsidR="00047256" w:rsidRPr="00047256" w:rsidRDefault="00047256" w:rsidP="00B7732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7256">
        <w:rPr>
          <w:rFonts w:asciiTheme="minorHAnsi" w:hAnsiTheme="minorHAnsi"/>
          <w:sz w:val="22"/>
          <w:szCs w:val="22"/>
        </w:rPr>
        <w:t xml:space="preserve">In the analyses of count data on the number of bacteria in vivo and in vitro (Fig. </w:t>
      </w:r>
      <w:r w:rsidR="006913D5">
        <w:rPr>
          <w:rFonts w:asciiTheme="minorHAnsi" w:hAnsiTheme="minorHAnsi"/>
          <w:sz w:val="22"/>
          <w:szCs w:val="22"/>
        </w:rPr>
        <w:t>2, Fig. 5 and Fig. 5 – figure supplement 2</w:t>
      </w:r>
      <w:r w:rsidRPr="00047256">
        <w:rPr>
          <w:rFonts w:asciiTheme="minorHAnsi" w:hAnsiTheme="minorHAnsi"/>
          <w:sz w:val="22"/>
          <w:szCs w:val="22"/>
        </w:rPr>
        <w:t xml:space="preserve">), we removed predictor levels with all zeros, as </w:t>
      </w:r>
      <w:r w:rsidR="00410DFB">
        <w:rPr>
          <w:rFonts w:asciiTheme="minorHAnsi" w:hAnsiTheme="minorHAnsi"/>
          <w:sz w:val="22"/>
          <w:szCs w:val="22"/>
        </w:rPr>
        <w:t>inclusion of these levels in statistical models</w:t>
      </w:r>
      <w:r w:rsidRPr="00047256">
        <w:rPr>
          <w:rFonts w:asciiTheme="minorHAnsi" w:hAnsiTheme="minorHAnsi"/>
          <w:sz w:val="22"/>
          <w:szCs w:val="22"/>
        </w:rPr>
        <w:t xml:space="preserve"> results in complete data separation, i.e. the predictor variable perfectly predicts the outcome, with maximum likelihood estimates lying on the boundary of the parameter space. Data omitted in the analyses is however </w:t>
      </w:r>
      <w:r w:rsidR="006913D5">
        <w:rPr>
          <w:rFonts w:asciiTheme="minorHAnsi" w:hAnsiTheme="minorHAnsi"/>
          <w:sz w:val="22"/>
          <w:szCs w:val="22"/>
        </w:rPr>
        <w:t xml:space="preserve">explicitly </w:t>
      </w:r>
      <w:r w:rsidRPr="00047256">
        <w:rPr>
          <w:rFonts w:asciiTheme="minorHAnsi" w:hAnsiTheme="minorHAnsi"/>
          <w:sz w:val="22"/>
          <w:szCs w:val="22"/>
        </w:rPr>
        <w:t>shown in the figures and reported in the text</w:t>
      </w:r>
      <w:r w:rsidR="006913D5">
        <w:rPr>
          <w:rFonts w:asciiTheme="minorHAnsi" w:hAnsiTheme="minorHAnsi"/>
          <w:sz w:val="22"/>
          <w:szCs w:val="22"/>
        </w:rPr>
        <w:t xml:space="preserve"> and the figure legends</w:t>
      </w:r>
      <w:r w:rsidRPr="00047256">
        <w:rPr>
          <w:rFonts w:asciiTheme="minorHAnsi" w:hAnsiTheme="minorHAnsi"/>
          <w:sz w:val="22"/>
          <w:szCs w:val="22"/>
        </w:rPr>
        <w:t>.</w:t>
      </w:r>
      <w:r w:rsidR="006913D5">
        <w:rPr>
          <w:rFonts w:asciiTheme="minorHAnsi" w:hAnsiTheme="minorHAnsi"/>
          <w:sz w:val="22"/>
          <w:szCs w:val="22"/>
        </w:rPr>
        <w:t xml:space="preserve"> </w:t>
      </w:r>
      <w:r w:rsidRPr="00047256">
        <w:rPr>
          <w:rFonts w:asciiTheme="minorHAnsi" w:hAnsiTheme="minorHAnsi"/>
          <w:sz w:val="22"/>
          <w:szCs w:val="22"/>
        </w:rPr>
        <w:t>This information is</w:t>
      </w:r>
      <w:r w:rsidR="006913D5">
        <w:rPr>
          <w:rFonts w:asciiTheme="minorHAnsi" w:hAnsiTheme="minorHAnsi"/>
          <w:sz w:val="22"/>
          <w:szCs w:val="22"/>
        </w:rPr>
        <w:t xml:space="preserve"> also</w:t>
      </w:r>
      <w:r w:rsidRPr="00047256">
        <w:rPr>
          <w:rFonts w:asciiTheme="minorHAnsi" w:hAnsiTheme="minorHAnsi"/>
          <w:sz w:val="22"/>
          <w:szCs w:val="22"/>
        </w:rPr>
        <w:t xml:space="preserve"> clearly reported in the section material and methods.</w:t>
      </w:r>
    </w:p>
    <w:p w14:paraId="203989C1" w14:textId="77777777" w:rsidR="00FF5ED7" w:rsidRPr="00047256" w:rsidRDefault="00FF5ED7" w:rsidP="00FF5ED7">
      <w:pPr>
        <w:rPr>
          <w:rFonts w:asciiTheme="minorHAnsi" w:hAnsiTheme="minorHAnsi"/>
          <w:b/>
          <w:bCs/>
          <w:sz w:val="22"/>
          <w:szCs w:val="22"/>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BF1ADB9" w:rsidR="0015519A" w:rsidRPr="00505C51" w:rsidRDefault="00C9214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of the data presented in the study is thoroughly described in the material and methods section, including sample sizes and statistical tests or models used together with a description of predictors and methods of multiple test correction. Dispersion and precision measures are given throughout the result section and exact p-values are reported down to three decimal places. All figures </w:t>
      </w:r>
      <w:r w:rsidR="00577B80">
        <w:rPr>
          <w:rFonts w:asciiTheme="minorHAnsi" w:hAnsiTheme="minorHAnsi"/>
          <w:sz w:val="22"/>
          <w:szCs w:val="22"/>
        </w:rPr>
        <w:t>show</w:t>
      </w:r>
      <w:r>
        <w:rPr>
          <w:rFonts w:asciiTheme="minorHAnsi" w:hAnsiTheme="minorHAnsi"/>
          <w:sz w:val="22"/>
          <w:szCs w:val="22"/>
        </w:rPr>
        <w:t xml:space="preserve"> raw data points alongside summarizing measures of center and dispersion.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468F1DA" w14:textId="217D2B83" w:rsidR="00047256" w:rsidRPr="00047256" w:rsidRDefault="00047256" w:rsidP="0004725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7256">
        <w:rPr>
          <w:rFonts w:asciiTheme="minorHAnsi" w:hAnsiTheme="minorHAnsi"/>
          <w:sz w:val="22"/>
          <w:szCs w:val="22"/>
        </w:rPr>
        <w:t xml:space="preserve">Allocation of ants into experimental groups was completely random and </w:t>
      </w:r>
      <w:r w:rsidR="006913D5">
        <w:rPr>
          <w:rFonts w:asciiTheme="minorHAnsi" w:hAnsiTheme="minorHAnsi"/>
          <w:sz w:val="22"/>
          <w:szCs w:val="22"/>
        </w:rPr>
        <w:t xml:space="preserve">replicates of </w:t>
      </w:r>
      <w:r w:rsidRPr="00047256">
        <w:rPr>
          <w:rFonts w:asciiTheme="minorHAnsi" w:hAnsiTheme="minorHAnsi"/>
          <w:sz w:val="22"/>
          <w:szCs w:val="22"/>
        </w:rPr>
        <w:t>all groups in one experiment were set up at the same time. Investigators were not blinded to group allocation during data collection and analysis. To ensure unbiased results the following steps were undertaken:</w:t>
      </w:r>
    </w:p>
    <w:p w14:paraId="1912E90D" w14:textId="77777777" w:rsidR="00047256" w:rsidRPr="00047256" w:rsidRDefault="00047256" w:rsidP="0004725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7256">
        <w:rPr>
          <w:rFonts w:asciiTheme="minorHAnsi" w:hAnsiTheme="minorHAnsi"/>
          <w:sz w:val="22"/>
          <w:szCs w:val="22"/>
        </w:rPr>
        <w:t>1. different investigators performed experiments building upon each other, e.g. survival of individual ants and survival of donor-receiver ant pairs</w:t>
      </w:r>
    </w:p>
    <w:p w14:paraId="05835BB0" w14:textId="77777777" w:rsidR="00047256" w:rsidRPr="00047256" w:rsidRDefault="00047256" w:rsidP="0004725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7256">
        <w:rPr>
          <w:rFonts w:asciiTheme="minorHAnsi" w:hAnsiTheme="minorHAnsi"/>
          <w:sz w:val="22"/>
          <w:szCs w:val="22"/>
        </w:rPr>
        <w:t>2. different investigators performed experiments and analyzed data, e.g. bacterial growth in vivo</w:t>
      </w:r>
    </w:p>
    <w:p w14:paraId="1BE90311" w14:textId="5001B255" w:rsidR="00BC3CCE" w:rsidRPr="00047256" w:rsidRDefault="0004725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7256">
        <w:rPr>
          <w:rFonts w:asciiTheme="minorHAnsi" w:hAnsiTheme="minorHAnsi"/>
          <w:sz w:val="22"/>
          <w:szCs w:val="22"/>
        </w:rPr>
        <w:t>3. A different methodology was used to manipulate ants, e.g. survival of individual ants and survival of donor-receiver ant pairs, or to take a measurement, e.g. crop lumen acidification.</w:t>
      </w:r>
    </w:p>
    <w:p w14:paraId="348D301B" w14:textId="77777777" w:rsidR="00047256" w:rsidRPr="00047256" w:rsidRDefault="00047256" w:rsidP="0004725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7256">
        <w:rPr>
          <w:rFonts w:asciiTheme="minorHAnsi" w:hAnsiTheme="minorHAnsi"/>
          <w:sz w:val="22"/>
          <w:szCs w:val="22"/>
        </w:rPr>
        <w:t>This information is clearly reported in the section material and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653D27C" w:rsidR="00BC3CCE" w:rsidRPr="00505C51" w:rsidRDefault="0004725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w:t>
      </w:r>
      <w:r w:rsidRPr="00047256">
        <w:rPr>
          <w:rFonts w:asciiTheme="minorHAnsi" w:hAnsiTheme="minorHAnsi"/>
          <w:sz w:val="22"/>
          <w:szCs w:val="22"/>
        </w:rPr>
        <w:t xml:space="preserve">ll data supporting the findings of this study and all code required to reproduce the analyses and figures of this study </w:t>
      </w:r>
      <w:r w:rsidR="00D61FB5">
        <w:rPr>
          <w:rFonts w:asciiTheme="minorHAnsi" w:hAnsiTheme="minorHAnsi"/>
          <w:sz w:val="22"/>
          <w:szCs w:val="22"/>
        </w:rPr>
        <w:t>have been</w:t>
      </w:r>
      <w:r>
        <w:rPr>
          <w:rFonts w:asciiTheme="minorHAnsi" w:hAnsiTheme="minorHAnsi"/>
          <w:sz w:val="22"/>
          <w:szCs w:val="22"/>
        </w:rPr>
        <w:t xml:space="preserve"> be uploaded as additional data files and made </w:t>
      </w:r>
      <w:r w:rsidRPr="00047256">
        <w:rPr>
          <w:rFonts w:asciiTheme="minorHAnsi" w:hAnsiTheme="minorHAnsi"/>
          <w:sz w:val="22"/>
          <w:szCs w:val="22"/>
        </w:rPr>
        <w:t xml:space="preserve">publicly available at </w:t>
      </w:r>
      <w:r w:rsidR="00D61FB5">
        <w:rPr>
          <w:rFonts w:asciiTheme="minorHAnsi" w:hAnsiTheme="minorHAnsi"/>
          <w:sz w:val="22"/>
          <w:szCs w:val="22"/>
        </w:rPr>
        <w:t>Dryad (</w:t>
      </w:r>
      <w:r w:rsidR="00D61FB5" w:rsidRPr="00D61FB5">
        <w:rPr>
          <w:rFonts w:asciiTheme="minorHAnsi" w:hAnsiTheme="minorHAnsi"/>
          <w:sz w:val="22"/>
          <w:szCs w:val="22"/>
        </w:rPr>
        <w:t>http://doi.org/10.5061/dryad.k0p2ngf4v</w:t>
      </w:r>
      <w:r w:rsidR="00D61FB5">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12577" w14:textId="77777777" w:rsidR="00E536C4" w:rsidRDefault="00E536C4" w:rsidP="004215FE">
      <w:r>
        <w:separator/>
      </w:r>
    </w:p>
  </w:endnote>
  <w:endnote w:type="continuationSeparator" w:id="0">
    <w:p w14:paraId="1BC1950B" w14:textId="77777777" w:rsidR="00E536C4" w:rsidRDefault="00E536C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645BE" w14:textId="77777777" w:rsidR="00E536C4" w:rsidRDefault="00E536C4" w:rsidP="004215FE">
      <w:r>
        <w:separator/>
      </w:r>
    </w:p>
  </w:footnote>
  <w:footnote w:type="continuationSeparator" w:id="0">
    <w:p w14:paraId="52AF9C4C" w14:textId="77777777" w:rsidR="00E536C4" w:rsidRDefault="00E536C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7256"/>
    <w:rsid w:val="00062DBF"/>
    <w:rsid w:val="00083FE8"/>
    <w:rsid w:val="0009444E"/>
    <w:rsid w:val="0009520A"/>
    <w:rsid w:val="000A32A6"/>
    <w:rsid w:val="000A38BC"/>
    <w:rsid w:val="000A4E24"/>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915E5"/>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0DFB"/>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7B80"/>
    <w:rsid w:val="005B0A15"/>
    <w:rsid w:val="00605A12"/>
    <w:rsid w:val="00634AC7"/>
    <w:rsid w:val="00657587"/>
    <w:rsid w:val="00661DCC"/>
    <w:rsid w:val="00672545"/>
    <w:rsid w:val="00685CCF"/>
    <w:rsid w:val="006913D5"/>
    <w:rsid w:val="006A632B"/>
    <w:rsid w:val="006C06F5"/>
    <w:rsid w:val="006C7BC3"/>
    <w:rsid w:val="006E4A6C"/>
    <w:rsid w:val="006E6B2A"/>
    <w:rsid w:val="00700103"/>
    <w:rsid w:val="007137E1"/>
    <w:rsid w:val="00762B36"/>
    <w:rsid w:val="00763BA5"/>
    <w:rsid w:val="0076524F"/>
    <w:rsid w:val="00767B26"/>
    <w:rsid w:val="00781E89"/>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0F45"/>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7321"/>
    <w:rsid w:val="00B94C5D"/>
    <w:rsid w:val="00BA4D1B"/>
    <w:rsid w:val="00BA5BB7"/>
    <w:rsid w:val="00BB00D0"/>
    <w:rsid w:val="00BB55EC"/>
    <w:rsid w:val="00BC3CCE"/>
    <w:rsid w:val="00C1184B"/>
    <w:rsid w:val="00C21D14"/>
    <w:rsid w:val="00C24CF7"/>
    <w:rsid w:val="00C42ECB"/>
    <w:rsid w:val="00C52A77"/>
    <w:rsid w:val="00C820B0"/>
    <w:rsid w:val="00C9214B"/>
    <w:rsid w:val="00CC6EF3"/>
    <w:rsid w:val="00CD6AEC"/>
    <w:rsid w:val="00CE6849"/>
    <w:rsid w:val="00CF4BBE"/>
    <w:rsid w:val="00CF6CB5"/>
    <w:rsid w:val="00D10224"/>
    <w:rsid w:val="00D44612"/>
    <w:rsid w:val="00D50299"/>
    <w:rsid w:val="00D61FB5"/>
    <w:rsid w:val="00D74320"/>
    <w:rsid w:val="00D779BF"/>
    <w:rsid w:val="00D83D45"/>
    <w:rsid w:val="00D93937"/>
    <w:rsid w:val="00DC0101"/>
    <w:rsid w:val="00DE207A"/>
    <w:rsid w:val="00DE2719"/>
    <w:rsid w:val="00DF1913"/>
    <w:rsid w:val="00E007B4"/>
    <w:rsid w:val="00E234CA"/>
    <w:rsid w:val="00E41364"/>
    <w:rsid w:val="00E536C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FF780F2-AA27-4B5F-A939-7DA46A60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4733-4BAA-485F-B698-91FC9755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7422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James Gilbert</cp:lastModifiedBy>
  <cp:revision>3</cp:revision>
  <dcterms:created xsi:type="dcterms:W3CDTF">2020-06-24T06:57:00Z</dcterms:created>
  <dcterms:modified xsi:type="dcterms:W3CDTF">2020-10-16T16:04:00Z</dcterms:modified>
</cp:coreProperties>
</file>