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BF2708" w:rsidRPr="0047749E" w:rsidRDefault="007858AB">
      <w:pPr>
        <w:spacing w:line="48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t>Supplementary Information</w:t>
      </w:r>
    </w:p>
    <w:p w14:paraId="00000002" w14:textId="77777777" w:rsidR="00BF2708" w:rsidRPr="0047749E" w:rsidRDefault="00BF2708">
      <w:pPr>
        <w:spacing w:line="48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00000004" w14:textId="7FF03E15" w:rsidR="00BF2708" w:rsidRPr="0047749E" w:rsidRDefault="00AF6CC6">
      <w:pPr>
        <w:spacing w:line="48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  <w:proofErr w:type="spellStart"/>
      <w:r w:rsidRPr="00AF6CC6">
        <w:rPr>
          <w:rFonts w:ascii="Arial" w:eastAsia="Arial" w:hAnsi="Arial" w:cs="Arial"/>
          <w:b/>
          <w:iCs/>
          <w:sz w:val="24"/>
          <w:szCs w:val="24"/>
          <w:lang w:val="en-US"/>
        </w:rPr>
        <w:t>BipA</w:t>
      </w:r>
      <w:proofErr w:type="spellEnd"/>
      <w:r w:rsidRPr="00AF6CC6">
        <w:rPr>
          <w:rFonts w:ascii="Arial" w:eastAsia="Arial" w:hAnsi="Arial" w:cs="Arial"/>
          <w:b/>
          <w:iCs/>
          <w:sz w:val="24"/>
          <w:szCs w:val="24"/>
          <w:lang w:val="en-US"/>
        </w:rPr>
        <w:t xml:space="preserve"> exerts temperature-dependent control of biofilm-associated colony morphology in</w:t>
      </w:r>
      <w:r w:rsidRPr="00AF6CC6">
        <w:rPr>
          <w:rFonts w:ascii="Arial" w:eastAsia="Arial" w:hAnsi="Arial" w:cs="Arial"/>
          <w:b/>
          <w:i/>
          <w:sz w:val="24"/>
          <w:szCs w:val="24"/>
          <w:lang w:val="en-US"/>
        </w:rPr>
        <w:t xml:space="preserve"> Vibrio </w:t>
      </w:r>
      <w:proofErr w:type="gramStart"/>
      <w:r w:rsidRPr="00AF6CC6">
        <w:rPr>
          <w:rFonts w:ascii="Arial" w:eastAsia="Arial" w:hAnsi="Arial" w:cs="Arial"/>
          <w:b/>
          <w:i/>
          <w:sz w:val="24"/>
          <w:szCs w:val="24"/>
          <w:lang w:val="en-US"/>
        </w:rPr>
        <w:t>cholerae</w:t>
      </w:r>
      <w:proofErr w:type="gramEnd"/>
    </w:p>
    <w:p w14:paraId="00000005" w14:textId="2CE6C63B" w:rsidR="00BF2708" w:rsidRPr="00DC1648" w:rsidRDefault="00F8542B" w:rsidP="00DC1648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GB"/>
        </w:rPr>
      </w:pPr>
      <w:sdt>
        <w:sdtPr>
          <w:tag w:val="goog_rdk_0"/>
          <w:id w:val="-707640427"/>
        </w:sdtPr>
        <w:sdtEndPr/>
        <w:sdtContent/>
      </w:sdt>
      <w:r w:rsidR="007858AB" w:rsidRPr="00DC1648">
        <w:rPr>
          <w:rFonts w:ascii="Arial" w:eastAsia="Arial" w:hAnsi="Arial" w:cs="Arial"/>
          <w:sz w:val="24"/>
          <w:szCs w:val="24"/>
          <w:lang w:val="en-US"/>
        </w:rPr>
        <w:t>Teresa del Peso Santos</w:t>
      </w:r>
      <w:r w:rsidR="007858AB" w:rsidRPr="00DC1648">
        <w:rPr>
          <w:rFonts w:ascii="Arial" w:eastAsia="Arial" w:hAnsi="Arial" w:cs="Arial"/>
          <w:sz w:val="24"/>
          <w:szCs w:val="24"/>
          <w:vertAlign w:val="superscript"/>
          <w:lang w:val="en-US"/>
        </w:rPr>
        <w:t>1</w:t>
      </w:r>
      <w:r w:rsidR="007858AB" w:rsidRPr="00DC1648">
        <w:rPr>
          <w:rFonts w:ascii="Arial" w:eastAsia="Arial" w:hAnsi="Arial" w:cs="Arial"/>
          <w:sz w:val="24"/>
          <w:szCs w:val="24"/>
          <w:lang w:val="en-US"/>
        </w:rPr>
        <w:t xml:space="preserve">, </w:t>
      </w:r>
      <w:r w:rsidR="00DC1648" w:rsidRPr="00DC1648">
        <w:rPr>
          <w:rFonts w:ascii="Arial" w:eastAsia="Arial" w:hAnsi="Arial" w:cs="Arial"/>
          <w:sz w:val="24"/>
          <w:szCs w:val="24"/>
          <w:lang w:val="en-US"/>
        </w:rPr>
        <w:t>Laura Alvarez</w:t>
      </w:r>
      <w:r w:rsidR="00DC1648" w:rsidRPr="00DC1648">
        <w:rPr>
          <w:rFonts w:ascii="Arial" w:eastAsia="Arial" w:hAnsi="Arial" w:cs="Arial"/>
          <w:sz w:val="24"/>
          <w:szCs w:val="24"/>
          <w:vertAlign w:val="superscript"/>
          <w:lang w:val="en-US"/>
        </w:rPr>
        <w:t>1</w:t>
      </w:r>
      <w:r w:rsidR="00DC1648" w:rsidRPr="00DC1648">
        <w:rPr>
          <w:rFonts w:ascii="Arial" w:eastAsia="Arial" w:hAnsi="Arial" w:cs="Arial"/>
          <w:sz w:val="24"/>
          <w:szCs w:val="24"/>
          <w:lang w:val="en-US"/>
        </w:rPr>
        <w:t>, Brandon Sit</w:t>
      </w:r>
      <w:r w:rsidR="00DC1648">
        <w:rPr>
          <w:rFonts w:ascii="Arial" w:eastAsia="Arial" w:hAnsi="Arial" w:cs="Arial"/>
          <w:sz w:val="24"/>
          <w:szCs w:val="24"/>
          <w:vertAlign w:val="superscript"/>
          <w:lang w:val="en-US"/>
        </w:rPr>
        <w:t>2</w:t>
      </w:r>
      <w:r w:rsidR="00DC1648" w:rsidRPr="00DC1648">
        <w:rPr>
          <w:rFonts w:ascii="Arial" w:eastAsia="Arial" w:hAnsi="Arial" w:cs="Arial"/>
          <w:sz w:val="24"/>
          <w:szCs w:val="24"/>
          <w:lang w:val="en-US"/>
        </w:rPr>
        <w:t>,</w:t>
      </w:r>
      <w:r w:rsidR="00DC1648" w:rsidRPr="00DC1648">
        <w:rPr>
          <w:lang w:val="en-US"/>
        </w:rPr>
        <w:t xml:space="preserve"> </w:t>
      </w:r>
      <w:r w:rsidR="00DC1648" w:rsidRPr="00DC1648">
        <w:rPr>
          <w:rFonts w:ascii="Arial" w:eastAsia="Arial" w:hAnsi="Arial" w:cs="Arial"/>
          <w:sz w:val="24"/>
          <w:szCs w:val="24"/>
          <w:lang w:val="en-US"/>
        </w:rPr>
        <w:t>Oihane Irazoki</w:t>
      </w:r>
      <w:r w:rsidR="00DC1648" w:rsidRPr="00DC1648">
        <w:rPr>
          <w:rFonts w:ascii="Arial" w:eastAsia="Arial" w:hAnsi="Arial" w:cs="Arial"/>
          <w:sz w:val="24"/>
          <w:szCs w:val="24"/>
          <w:vertAlign w:val="superscript"/>
          <w:lang w:val="en-US"/>
        </w:rPr>
        <w:t>1</w:t>
      </w:r>
      <w:r w:rsidR="00DC1648" w:rsidRPr="00DC1648">
        <w:rPr>
          <w:rFonts w:ascii="Arial" w:eastAsia="Arial" w:hAnsi="Arial" w:cs="Arial"/>
          <w:sz w:val="24"/>
          <w:szCs w:val="24"/>
          <w:lang w:val="en-US"/>
        </w:rPr>
        <w:t xml:space="preserve">, </w:t>
      </w:r>
      <w:r w:rsidR="0029756B" w:rsidRPr="00DC1648">
        <w:rPr>
          <w:rFonts w:ascii="Arial" w:eastAsia="Arial" w:hAnsi="Arial" w:cs="Arial"/>
          <w:sz w:val="24"/>
          <w:szCs w:val="24"/>
          <w:lang w:val="en-GB"/>
        </w:rPr>
        <w:t>Jonathon Blake</w:t>
      </w:r>
      <w:r w:rsidR="0029756B" w:rsidRPr="00DC1648">
        <w:rPr>
          <w:rFonts w:ascii="Arial" w:eastAsia="Arial" w:hAnsi="Arial" w:cs="Arial"/>
          <w:sz w:val="24"/>
          <w:szCs w:val="24"/>
          <w:vertAlign w:val="superscript"/>
          <w:lang w:val="en-GB"/>
        </w:rPr>
        <w:t>2</w:t>
      </w:r>
      <w:r w:rsidR="00721019">
        <w:rPr>
          <w:rFonts w:ascii="Arial" w:eastAsia="Arial" w:hAnsi="Arial" w:cs="Arial"/>
          <w:sz w:val="24"/>
          <w:szCs w:val="24"/>
          <w:lang w:val="en-GB"/>
        </w:rPr>
        <w:t xml:space="preserve">, </w:t>
      </w:r>
      <w:r w:rsidR="00DC1648" w:rsidRPr="00DC1648">
        <w:rPr>
          <w:rFonts w:ascii="Arial" w:eastAsia="Arial" w:hAnsi="Arial" w:cs="Arial"/>
          <w:sz w:val="24"/>
          <w:szCs w:val="24"/>
          <w:lang w:val="en-GB"/>
        </w:rPr>
        <w:t>Benjamin R Warner</w:t>
      </w:r>
      <w:r w:rsidR="00DC1648" w:rsidRPr="00DC1648">
        <w:rPr>
          <w:rFonts w:ascii="Arial" w:eastAsia="Arial" w:hAnsi="Arial" w:cs="Arial"/>
          <w:sz w:val="24"/>
          <w:szCs w:val="24"/>
          <w:vertAlign w:val="superscript"/>
          <w:lang w:val="en-GB"/>
        </w:rPr>
        <w:t>4</w:t>
      </w:r>
      <w:r w:rsidR="00DC1648">
        <w:rPr>
          <w:rFonts w:ascii="Arial" w:eastAsia="Arial" w:hAnsi="Arial" w:cs="Arial"/>
          <w:sz w:val="24"/>
          <w:szCs w:val="24"/>
          <w:lang w:val="en-GB"/>
        </w:rPr>
        <w:t xml:space="preserve">, </w:t>
      </w:r>
      <w:r w:rsidR="0029756B" w:rsidRPr="00DC1648">
        <w:rPr>
          <w:rFonts w:ascii="Arial" w:eastAsia="Arial" w:hAnsi="Arial" w:cs="Arial"/>
          <w:sz w:val="24"/>
          <w:szCs w:val="24"/>
          <w:lang w:val="en-GB"/>
        </w:rPr>
        <w:t>Alyson R. Warr</w:t>
      </w:r>
      <w:r w:rsidR="0029756B">
        <w:rPr>
          <w:rFonts w:ascii="Arial" w:eastAsia="Arial" w:hAnsi="Arial" w:cs="Arial"/>
          <w:sz w:val="24"/>
          <w:szCs w:val="24"/>
          <w:vertAlign w:val="superscript"/>
          <w:lang w:val="en-GB"/>
        </w:rPr>
        <w:t>2</w:t>
      </w:r>
      <w:r w:rsidR="00DC1648">
        <w:rPr>
          <w:rFonts w:ascii="Arial" w:eastAsia="Arial" w:hAnsi="Arial" w:cs="Arial"/>
          <w:sz w:val="24"/>
          <w:szCs w:val="24"/>
          <w:lang w:val="en-GB"/>
        </w:rPr>
        <w:t>,</w:t>
      </w:r>
      <w:r w:rsidR="00DC1648" w:rsidRPr="00DC1648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DC1648">
        <w:rPr>
          <w:rFonts w:ascii="Arial" w:eastAsia="Arial" w:hAnsi="Arial" w:cs="Arial"/>
          <w:sz w:val="24"/>
          <w:szCs w:val="24"/>
          <w:lang w:val="en-GB"/>
        </w:rPr>
        <w:t xml:space="preserve">Anju </w:t>
      </w:r>
      <w:proofErr w:type="spellStart"/>
      <w:r w:rsidR="00DC1648">
        <w:rPr>
          <w:rFonts w:ascii="Arial" w:eastAsia="Arial" w:hAnsi="Arial" w:cs="Arial"/>
          <w:sz w:val="24"/>
          <w:szCs w:val="24"/>
          <w:lang w:val="en-GB"/>
        </w:rPr>
        <w:t>Bala</w:t>
      </w:r>
      <w:proofErr w:type="spellEnd"/>
      <w:r w:rsidR="00DC1648" w:rsidRPr="00DC1648">
        <w:rPr>
          <w:rFonts w:ascii="Arial" w:eastAsia="Arial" w:hAnsi="Arial" w:cs="Arial"/>
          <w:sz w:val="24"/>
          <w:szCs w:val="24"/>
          <w:vertAlign w:val="superscript"/>
          <w:lang w:val="en-US"/>
        </w:rPr>
        <w:t>1</w:t>
      </w:r>
      <w:r w:rsidR="00DC1648">
        <w:rPr>
          <w:rFonts w:ascii="Arial" w:eastAsia="Arial" w:hAnsi="Arial" w:cs="Arial"/>
          <w:sz w:val="24"/>
          <w:szCs w:val="24"/>
          <w:lang w:val="en-GB"/>
        </w:rPr>
        <w:t>,</w:t>
      </w:r>
      <w:r w:rsidR="007858AB" w:rsidRPr="00DC1648">
        <w:rPr>
          <w:rFonts w:ascii="Arial" w:eastAsia="Arial" w:hAnsi="Arial" w:cs="Arial"/>
          <w:sz w:val="24"/>
          <w:szCs w:val="24"/>
          <w:lang w:val="en-GB"/>
        </w:rPr>
        <w:t xml:space="preserve"> Vladimir Benes</w:t>
      </w:r>
      <w:r w:rsidR="007858AB" w:rsidRPr="00DC1648">
        <w:rPr>
          <w:rFonts w:ascii="Arial" w:eastAsia="Arial" w:hAnsi="Arial" w:cs="Arial"/>
          <w:sz w:val="24"/>
          <w:szCs w:val="24"/>
          <w:vertAlign w:val="superscript"/>
          <w:lang w:val="en-GB"/>
        </w:rPr>
        <w:t>2</w:t>
      </w:r>
      <w:r w:rsidR="007858AB" w:rsidRPr="00DC1648">
        <w:rPr>
          <w:rFonts w:ascii="Arial" w:eastAsia="Arial" w:hAnsi="Arial" w:cs="Arial"/>
          <w:sz w:val="24"/>
          <w:szCs w:val="24"/>
          <w:lang w:val="en-GB"/>
        </w:rPr>
        <w:t>, Matthew K. Waldor</w:t>
      </w:r>
      <w:r w:rsidR="00DC1648" w:rsidRPr="00DC1648">
        <w:rPr>
          <w:rFonts w:ascii="Arial" w:eastAsia="Arial" w:hAnsi="Arial" w:cs="Arial"/>
          <w:sz w:val="24"/>
          <w:szCs w:val="24"/>
          <w:vertAlign w:val="superscript"/>
          <w:lang w:val="en-GB"/>
        </w:rPr>
        <w:t>2</w:t>
      </w:r>
      <w:r w:rsidR="00E41A74">
        <w:rPr>
          <w:rFonts w:ascii="Arial" w:eastAsia="Arial" w:hAnsi="Arial" w:cs="Arial"/>
          <w:sz w:val="24"/>
          <w:szCs w:val="24"/>
          <w:lang w:val="en-GB"/>
        </w:rPr>
        <w:t xml:space="preserve">, </w:t>
      </w:r>
      <w:r w:rsidR="00E41A74" w:rsidRPr="00DC1648">
        <w:rPr>
          <w:rFonts w:ascii="Arial" w:eastAsia="Arial" w:hAnsi="Arial" w:cs="Arial"/>
          <w:sz w:val="24"/>
          <w:szCs w:val="24"/>
          <w:lang w:val="en-GB"/>
        </w:rPr>
        <w:t>Kurt Fredri</w:t>
      </w:r>
      <w:r w:rsidR="00E41A74">
        <w:rPr>
          <w:rFonts w:ascii="Arial" w:eastAsia="Arial" w:hAnsi="Arial" w:cs="Arial"/>
          <w:sz w:val="24"/>
          <w:szCs w:val="24"/>
          <w:lang w:val="en-GB"/>
        </w:rPr>
        <w:t>c</w:t>
      </w:r>
      <w:r w:rsidR="00E41A74" w:rsidRPr="00DC1648">
        <w:rPr>
          <w:rFonts w:ascii="Arial" w:eastAsia="Arial" w:hAnsi="Arial" w:cs="Arial"/>
          <w:sz w:val="24"/>
          <w:szCs w:val="24"/>
          <w:lang w:val="en-GB"/>
        </w:rPr>
        <w:t>k</w:t>
      </w:r>
      <w:r w:rsidR="00E41A74" w:rsidRPr="00DC1648">
        <w:rPr>
          <w:rFonts w:ascii="Arial" w:eastAsia="Arial" w:hAnsi="Arial" w:cs="Arial"/>
          <w:sz w:val="24"/>
          <w:szCs w:val="24"/>
          <w:vertAlign w:val="superscript"/>
          <w:lang w:val="en-GB"/>
        </w:rPr>
        <w:t>4</w:t>
      </w:r>
      <w:r w:rsidR="00E41A74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7858AB" w:rsidRPr="00DC1648">
        <w:rPr>
          <w:rFonts w:ascii="Arial" w:eastAsia="Arial" w:hAnsi="Arial" w:cs="Arial"/>
          <w:sz w:val="24"/>
          <w:szCs w:val="24"/>
          <w:lang w:val="en-GB"/>
        </w:rPr>
        <w:t>and Felipe Cava</w:t>
      </w:r>
      <w:r w:rsidR="007858AB" w:rsidRPr="00DC1648">
        <w:rPr>
          <w:rFonts w:ascii="Arial" w:eastAsia="Arial" w:hAnsi="Arial" w:cs="Arial"/>
          <w:sz w:val="24"/>
          <w:szCs w:val="24"/>
          <w:vertAlign w:val="superscript"/>
          <w:lang w:val="en-GB"/>
        </w:rPr>
        <w:t>1</w:t>
      </w:r>
    </w:p>
    <w:p w14:paraId="2DE4F2A5" w14:textId="77777777" w:rsidR="00AF6CC6" w:rsidRDefault="00AF6CC6">
      <w:pPr>
        <w:spacing w:line="480" w:lineRule="auto"/>
        <w:jc w:val="both"/>
        <w:rPr>
          <w:rFonts w:ascii="Arial" w:eastAsia="Arial" w:hAnsi="Arial" w:cs="Arial"/>
          <w:sz w:val="24"/>
          <w:szCs w:val="24"/>
          <w:vertAlign w:val="superscript"/>
          <w:lang w:val="en-US"/>
        </w:rPr>
      </w:pPr>
      <w:bookmarkStart w:id="0" w:name="_heading=h.gjdgxs" w:colFirst="0" w:colLast="0"/>
      <w:bookmarkEnd w:id="0"/>
    </w:p>
    <w:p w14:paraId="00000007" w14:textId="0FA0FBB4" w:rsidR="00BF2708" w:rsidRPr="0047749E" w:rsidRDefault="007858AB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sz w:val="24"/>
          <w:szCs w:val="24"/>
          <w:vertAlign w:val="superscript"/>
          <w:lang w:val="en-US"/>
        </w:rPr>
        <w:t>1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The laboratory for Molecular Infection Medicine Sweden (MIMS), Department of Molecular Biology.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Umeå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University.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Umeå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>. Sweden.</w:t>
      </w:r>
    </w:p>
    <w:p w14:paraId="2B12E82A" w14:textId="77777777" w:rsidR="00DC1648" w:rsidRPr="0047749E" w:rsidRDefault="00DC1648" w:rsidP="00DC1648">
      <w:pPr>
        <w:shd w:val="clear" w:color="auto" w:fill="FFFFFF"/>
        <w:spacing w:line="48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sz w:val="24"/>
          <w:szCs w:val="24"/>
          <w:vertAlign w:val="superscript"/>
          <w:lang w:val="en-US"/>
        </w:rPr>
        <w:t>2</w:t>
      </w:r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>Howard Hughes Medical Institute, Brigham and Women's Hospital Division of Infectious Diseases and Harvard Medical School Department of Microbiology and Immunobiology, Boston, Massachusetts, USA.</w:t>
      </w:r>
    </w:p>
    <w:p w14:paraId="00000008" w14:textId="1668EF71" w:rsidR="00BF2708" w:rsidRDefault="00DC1648">
      <w:pPr>
        <w:shd w:val="clear" w:color="auto" w:fill="FFFFFF"/>
        <w:spacing w:line="480" w:lineRule="auto"/>
        <w:jc w:val="both"/>
        <w:rPr>
          <w:rFonts w:ascii="Arial" w:eastAsia="Arial" w:hAnsi="Arial" w:cs="Arial"/>
          <w:color w:val="000000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vertAlign w:val="superscript"/>
          <w:lang w:val="en-US"/>
        </w:rPr>
        <w:t>3</w:t>
      </w:r>
      <w:r w:rsidR="007858AB"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Genomics Core Facility, European Molecular Biology Laboratory (EMBL), </w:t>
      </w:r>
      <w:proofErr w:type="spellStart"/>
      <w:r w:rsidR="007858AB"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>Meyerhofstrasse</w:t>
      </w:r>
      <w:proofErr w:type="spellEnd"/>
      <w:r w:rsidR="007858AB"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1, Heidelberg, Germany.</w:t>
      </w:r>
    </w:p>
    <w:p w14:paraId="0000000A" w14:textId="6D2CDD3F" w:rsidR="00BF2708" w:rsidRPr="00935820" w:rsidRDefault="007858AB">
      <w:pPr>
        <w:shd w:val="clear" w:color="auto" w:fill="FFFFFF"/>
        <w:spacing w:line="480" w:lineRule="auto"/>
        <w:jc w:val="both"/>
        <w:rPr>
          <w:rFonts w:ascii="Arial" w:eastAsia="Arial" w:hAnsi="Arial" w:cs="Arial"/>
          <w:b/>
          <w:sz w:val="24"/>
          <w:szCs w:val="24"/>
          <w:highlight w:val="white"/>
          <w:lang w:val="en-US"/>
        </w:rPr>
      </w:pPr>
      <w:r w:rsidRPr="006F60A1">
        <w:rPr>
          <w:rFonts w:ascii="Arial" w:eastAsia="Arial" w:hAnsi="Arial" w:cs="Arial"/>
          <w:sz w:val="24"/>
          <w:szCs w:val="24"/>
          <w:vertAlign w:val="superscript"/>
          <w:lang w:val="en-US"/>
        </w:rPr>
        <w:t>4</w:t>
      </w:r>
      <w:r w:rsidR="00935820" w:rsidRPr="006F60A1">
        <w:rPr>
          <w:rFonts w:ascii="Arial" w:eastAsia="Arial" w:hAnsi="Arial" w:cs="Arial"/>
          <w:sz w:val="24"/>
          <w:szCs w:val="24"/>
          <w:lang w:val="en-US"/>
        </w:rPr>
        <w:t>D</w:t>
      </w:r>
      <w:r w:rsidR="00935820" w:rsidRPr="00935820">
        <w:rPr>
          <w:rFonts w:ascii="Arial" w:eastAsia="Arial" w:hAnsi="Arial" w:cs="Arial"/>
          <w:sz w:val="24"/>
          <w:szCs w:val="24"/>
          <w:lang w:val="en-US"/>
        </w:rPr>
        <w:t>epartment of Microbiology, The Ohio State University, Columbus, OH 43210, USA; Center for RNA Biology, The Ohio State University, Columbus, OH 43210, USA.</w:t>
      </w:r>
    </w:p>
    <w:p w14:paraId="58B816AC" w14:textId="77777777" w:rsidR="00146578" w:rsidRDefault="00146578">
      <w:pPr>
        <w:shd w:val="clear" w:color="auto" w:fill="FFFFFF"/>
        <w:spacing w:line="48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</w:pPr>
    </w:p>
    <w:p w14:paraId="0000000B" w14:textId="5FDDBD68" w:rsidR="00BF2708" w:rsidRPr="0047749E" w:rsidRDefault="007858AB">
      <w:pPr>
        <w:shd w:val="clear" w:color="auto" w:fill="FFFFFF"/>
        <w:spacing w:line="48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</w:pPr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 xml:space="preserve">Correspondence to: </w:t>
      </w:r>
      <w:hyperlink r:id="rId5">
        <w:r w:rsidRPr="0047749E">
          <w:rPr>
            <w:rFonts w:ascii="Arial" w:eastAsia="Arial" w:hAnsi="Arial" w:cs="Arial"/>
            <w:color w:val="0000FF"/>
            <w:sz w:val="24"/>
            <w:szCs w:val="24"/>
            <w:highlight w:val="white"/>
            <w:u w:val="single"/>
            <w:lang w:val="en-US"/>
          </w:rPr>
          <w:t>felipe.cava@umu.se</w:t>
        </w:r>
      </w:hyperlink>
    </w:p>
    <w:p w14:paraId="0000000C" w14:textId="77777777" w:rsidR="00BF2708" w:rsidRPr="0047749E" w:rsidRDefault="007858AB">
      <w:pPr>
        <w:shd w:val="clear" w:color="auto" w:fill="FFFFFF"/>
        <w:spacing w:line="48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</w:pPr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 xml:space="preserve">Keywords: biofilm, temperature, </w:t>
      </w:r>
      <w:r w:rsidRPr="0047749E">
        <w:rPr>
          <w:rFonts w:ascii="Arial" w:eastAsia="Arial" w:hAnsi="Arial" w:cs="Arial"/>
          <w:i/>
          <w:color w:val="000000"/>
          <w:sz w:val="24"/>
          <w:szCs w:val="24"/>
          <w:highlight w:val="white"/>
          <w:lang w:val="en-US"/>
        </w:rPr>
        <w:t>Vibrio</w:t>
      </w:r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 xml:space="preserve"> </w:t>
      </w:r>
      <w:r w:rsidRPr="0047749E">
        <w:rPr>
          <w:rFonts w:ascii="Arial" w:eastAsia="Arial" w:hAnsi="Arial" w:cs="Arial"/>
          <w:i/>
          <w:color w:val="000000"/>
          <w:sz w:val="24"/>
          <w:szCs w:val="24"/>
          <w:highlight w:val="white"/>
          <w:lang w:val="en-US"/>
        </w:rPr>
        <w:t>cholerae</w:t>
      </w:r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 xml:space="preserve">, </w:t>
      </w:r>
      <w:proofErr w:type="spellStart"/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>BipA</w:t>
      </w:r>
      <w:proofErr w:type="spellEnd"/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 xml:space="preserve">, </w:t>
      </w:r>
      <w:proofErr w:type="spellStart"/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>HapR</w:t>
      </w:r>
      <w:proofErr w:type="spellEnd"/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>, translation.</w:t>
      </w:r>
    </w:p>
    <w:p w14:paraId="0000000D" w14:textId="77777777" w:rsidR="00BF2708" w:rsidRPr="0047749E" w:rsidRDefault="007858AB">
      <w:pPr>
        <w:spacing w:line="480" w:lineRule="auto"/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</w:pPr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 xml:space="preserve">Running title: Temperature-dependent biofilm regulation in </w:t>
      </w:r>
      <w:r w:rsidRPr="0047749E">
        <w:rPr>
          <w:rFonts w:ascii="Arial" w:eastAsia="Arial" w:hAnsi="Arial" w:cs="Arial"/>
          <w:i/>
          <w:color w:val="000000"/>
          <w:sz w:val="24"/>
          <w:szCs w:val="24"/>
          <w:highlight w:val="white"/>
          <w:lang w:val="en-US"/>
        </w:rPr>
        <w:t>Vibrio cholerae</w:t>
      </w:r>
      <w:r w:rsidRPr="0047749E">
        <w:rPr>
          <w:rFonts w:ascii="Arial" w:eastAsia="Arial" w:hAnsi="Arial" w:cs="Arial"/>
          <w:color w:val="000000"/>
          <w:sz w:val="24"/>
          <w:szCs w:val="24"/>
          <w:highlight w:val="white"/>
          <w:lang w:val="en-US"/>
        </w:rPr>
        <w:t xml:space="preserve"> </w:t>
      </w:r>
      <w:r w:rsidRPr="0047749E">
        <w:rPr>
          <w:lang w:val="en-US"/>
        </w:rPr>
        <w:br w:type="page"/>
      </w:r>
    </w:p>
    <w:p w14:paraId="0000000E" w14:textId="77777777" w:rsidR="00BF2708" w:rsidRPr="0047749E" w:rsidRDefault="007858AB">
      <w:pPr>
        <w:keepNext/>
        <w:spacing w:after="0" w:line="480" w:lineRule="auto"/>
        <w:rPr>
          <w:rFonts w:ascii="Arial" w:eastAsia="Arial" w:hAnsi="Arial" w:cs="Arial"/>
          <w:b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lastRenderedPageBreak/>
        <w:t>Table of contents:</w:t>
      </w:r>
    </w:p>
    <w:p w14:paraId="00000019" w14:textId="77777777" w:rsidR="00BF2708" w:rsidRPr="0047749E" w:rsidRDefault="007858AB">
      <w:pPr>
        <w:keepNext/>
        <w:spacing w:after="0" w:line="480" w:lineRule="auto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sz w:val="24"/>
          <w:szCs w:val="24"/>
          <w:lang w:val="en-US"/>
        </w:rPr>
        <w:t>Supplementary Figure 1</w:t>
      </w:r>
    </w:p>
    <w:p w14:paraId="0000001A" w14:textId="77777777" w:rsidR="00BF2708" w:rsidRPr="0047749E" w:rsidRDefault="007858AB">
      <w:pPr>
        <w:keepNext/>
        <w:spacing w:after="0" w:line="480" w:lineRule="auto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sz w:val="24"/>
          <w:szCs w:val="24"/>
          <w:lang w:val="en-US"/>
        </w:rPr>
        <w:t>Supplementary Figure 2</w:t>
      </w:r>
    </w:p>
    <w:p w14:paraId="0000001B" w14:textId="77777777" w:rsidR="00BF2708" w:rsidRPr="0047749E" w:rsidRDefault="007858AB">
      <w:pPr>
        <w:keepNext/>
        <w:spacing w:after="0" w:line="480" w:lineRule="auto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sz w:val="24"/>
          <w:szCs w:val="24"/>
          <w:lang w:val="en-US"/>
        </w:rPr>
        <w:t>Supplementary Figure 3</w:t>
      </w:r>
    </w:p>
    <w:p w14:paraId="0000001C" w14:textId="77777777" w:rsidR="00BF2708" w:rsidRPr="0047749E" w:rsidRDefault="007858AB">
      <w:pPr>
        <w:keepNext/>
        <w:spacing w:after="0" w:line="480" w:lineRule="auto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sz w:val="24"/>
          <w:szCs w:val="24"/>
          <w:lang w:val="en-US"/>
        </w:rPr>
        <w:t>Supplementary Figure 4</w:t>
      </w:r>
    </w:p>
    <w:p w14:paraId="0000001D" w14:textId="77777777" w:rsidR="00BF2708" w:rsidRPr="0047749E" w:rsidRDefault="007858AB">
      <w:pPr>
        <w:keepNext/>
        <w:spacing w:after="0" w:line="480" w:lineRule="auto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sz w:val="24"/>
          <w:szCs w:val="24"/>
          <w:lang w:val="en-US"/>
        </w:rPr>
        <w:t>Supplementary Figure 5</w:t>
      </w:r>
    </w:p>
    <w:p w14:paraId="32E99FDC" w14:textId="561B5A10" w:rsidR="004D4716" w:rsidRPr="00044661" w:rsidRDefault="007858AB" w:rsidP="00044661">
      <w:pPr>
        <w:keepNext/>
        <w:spacing w:after="0" w:line="480" w:lineRule="auto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sz w:val="24"/>
          <w:szCs w:val="24"/>
          <w:lang w:val="en-US"/>
        </w:rPr>
        <w:t>Supplementary Figure 6</w:t>
      </w:r>
      <w:bookmarkStart w:id="2" w:name="_heading=h.1fob9te" w:colFirst="0" w:colLast="0"/>
      <w:bookmarkEnd w:id="2"/>
      <w:r w:rsidR="004D4716">
        <w:rPr>
          <w:rFonts w:ascii="Arial" w:eastAsia="Arial" w:hAnsi="Arial" w:cs="Arial"/>
          <w:b/>
          <w:sz w:val="24"/>
          <w:szCs w:val="24"/>
          <w:lang w:val="en-US"/>
        </w:rPr>
        <w:br w:type="page"/>
      </w:r>
    </w:p>
    <w:p w14:paraId="00000375" w14:textId="6117C117" w:rsidR="00BF2708" w:rsidRDefault="0029756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576DEA" wp14:editId="05B7622D">
            <wp:extent cx="5009748" cy="747299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2025" cy="74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376" w14:textId="77777777" w:rsidR="00BF2708" w:rsidRPr="0047749E" w:rsidRDefault="007858A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color w:val="000000"/>
          <w:sz w:val="24"/>
          <w:szCs w:val="24"/>
          <w:lang w:val="en-US"/>
        </w:rPr>
        <w:t xml:space="preserve">Supplementary Figure 1. 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Effect of temperature on CM and pellicle biofilm of different </w:t>
      </w:r>
      <w:r w:rsidRPr="0047749E">
        <w:rPr>
          <w:rFonts w:ascii="Arial" w:eastAsia="Arial" w:hAnsi="Arial" w:cs="Arial"/>
          <w:i/>
          <w:color w:val="000000"/>
          <w:sz w:val="24"/>
          <w:szCs w:val="24"/>
          <w:lang w:val="en-US"/>
        </w:rPr>
        <w:t xml:space="preserve">V. cholerae 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strains. </w:t>
      </w:r>
    </w:p>
    <w:p w14:paraId="00000377" w14:textId="3439ACE0" w:rsidR="00BF2708" w:rsidRPr="0047749E" w:rsidRDefault="007858A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color w:val="000000"/>
          <w:sz w:val="24"/>
          <w:szCs w:val="24"/>
          <w:lang w:val="en-US"/>
        </w:rPr>
        <w:lastRenderedPageBreak/>
        <w:t xml:space="preserve">A. 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Effect of temperature on colony morphology (CM) of different </w:t>
      </w:r>
      <w:r w:rsidRPr="0047749E">
        <w:rPr>
          <w:rFonts w:ascii="Arial" w:eastAsia="Arial" w:hAnsi="Arial" w:cs="Arial"/>
          <w:i/>
          <w:color w:val="000000"/>
          <w:sz w:val="24"/>
          <w:szCs w:val="24"/>
          <w:lang w:val="en-US"/>
        </w:rPr>
        <w:t>V. cholerae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strains.</w:t>
      </w:r>
      <w:r w:rsidRPr="0047749E">
        <w:rPr>
          <w:rFonts w:ascii="Arial" w:eastAsia="Arial" w:hAnsi="Arial" w:cs="Arial"/>
          <w:b/>
          <w:color w:val="000000"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Pictures represent the maximum rugosity obtained for different </w:t>
      </w:r>
      <w:r w:rsidRPr="0047749E">
        <w:rPr>
          <w:rFonts w:ascii="Arial" w:eastAsia="Arial" w:hAnsi="Arial" w:cs="Arial"/>
          <w:i/>
          <w:color w:val="000000"/>
          <w:sz w:val="24"/>
          <w:szCs w:val="24"/>
          <w:lang w:val="en-US"/>
        </w:rPr>
        <w:t>V. cholerae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strains incubated at different temperatures (37, 30, 28, 25 and 22ºC) during different times. The presence or absence of a functional variant of </w:t>
      </w:r>
      <w:proofErr w:type="spellStart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in these strains is indicated. </w:t>
      </w:r>
      <w:r w:rsidRPr="0047749E">
        <w:rPr>
          <w:rFonts w:ascii="Arial" w:eastAsia="Arial" w:hAnsi="Arial" w:cs="Arial"/>
          <w:b/>
          <w:color w:val="000000"/>
          <w:sz w:val="24"/>
          <w:szCs w:val="24"/>
          <w:lang w:val="en-US"/>
        </w:rPr>
        <w:t>B.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Pellicle biofilm formation for different </w:t>
      </w:r>
      <w:r w:rsidRPr="0047749E">
        <w:rPr>
          <w:rFonts w:ascii="Arial" w:eastAsia="Arial" w:hAnsi="Arial" w:cs="Arial"/>
          <w:i/>
          <w:color w:val="000000"/>
          <w:sz w:val="24"/>
          <w:szCs w:val="24"/>
          <w:lang w:val="en-US"/>
        </w:rPr>
        <w:t>V. cholerae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strains incubated at different temperatures (37, 30, 28, 25 and 22ºC). The presence or absence of a functional variant of </w:t>
      </w:r>
      <w:proofErr w:type="spellStart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is indicated. </w:t>
      </w:r>
      <w:r w:rsidRPr="0047749E">
        <w:rPr>
          <w:rFonts w:ascii="Arial" w:eastAsia="Arial" w:hAnsi="Arial" w:cs="Arial"/>
          <w:b/>
          <w:color w:val="000000"/>
          <w:sz w:val="24"/>
          <w:szCs w:val="24"/>
          <w:lang w:val="en-US"/>
        </w:rPr>
        <w:t>C.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Table indicating the mutations in the </w:t>
      </w:r>
      <w:proofErr w:type="spellStart"/>
      <w:r w:rsidRPr="0047749E">
        <w:rPr>
          <w:rFonts w:ascii="Arial" w:eastAsia="Arial" w:hAnsi="Arial" w:cs="Arial"/>
          <w:i/>
          <w:color w:val="000000"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sequence of the above </w:t>
      </w:r>
      <w:r w:rsidRPr="0047749E">
        <w:rPr>
          <w:rFonts w:ascii="Arial" w:eastAsia="Arial" w:hAnsi="Arial" w:cs="Arial"/>
          <w:i/>
          <w:color w:val="000000"/>
          <w:sz w:val="24"/>
          <w:szCs w:val="24"/>
          <w:lang w:val="en-US"/>
        </w:rPr>
        <w:t>V.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i/>
          <w:color w:val="000000"/>
          <w:sz w:val="24"/>
          <w:szCs w:val="24"/>
          <w:lang w:val="en-US"/>
        </w:rPr>
        <w:t xml:space="preserve">cholerae 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strains, which lead to truncated or inactive variants of the protein. Sequencing of </w:t>
      </w:r>
      <w:proofErr w:type="spellStart"/>
      <w:r w:rsidRPr="0047749E">
        <w:rPr>
          <w:rFonts w:ascii="Arial" w:eastAsia="Arial" w:hAnsi="Arial" w:cs="Arial"/>
          <w:i/>
          <w:color w:val="000000"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gene of the strains in panels A and B was performed in this study. To avoid any sequencing errors, sequencing was performed twice from two independent PCR products using primers FCP849 and FCP950 (Supplementary Table 3). The tool </w:t>
      </w:r>
      <w:hyperlink r:id="rId7">
        <w:r w:rsidRPr="0047749E">
          <w:rPr>
            <w:rFonts w:ascii="Arial" w:eastAsia="Arial" w:hAnsi="Arial" w:cs="Arial"/>
            <w:color w:val="0000FF"/>
            <w:sz w:val="24"/>
            <w:szCs w:val="24"/>
            <w:u w:val="single"/>
            <w:lang w:val="en-US"/>
          </w:rPr>
          <w:t>http://web.expasy.org/translate/</w:t>
        </w:r>
      </w:hyperlink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allowed to </w:t>
      </w:r>
      <w:r w:rsidR="006F623F">
        <w:rPr>
          <w:rFonts w:ascii="Arial" w:eastAsia="Arial" w:hAnsi="Arial" w:cs="Arial"/>
          <w:color w:val="000000"/>
          <w:sz w:val="24"/>
          <w:szCs w:val="24"/>
          <w:lang w:val="en-US"/>
        </w:rPr>
        <w:t>identify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which of the changes in the sequence resulted in truncated variants of the protein. The C158G substitution in strain o139 leads to a T53R substitution; T53 has been reported to be involved in binding of </w:t>
      </w:r>
      <w:proofErr w:type="spellStart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to DNA (Singh et al 2014), with a T53A substitution only allowing very weak binding (De Silva et al 2007).</w:t>
      </w:r>
    </w:p>
    <w:p w14:paraId="00000378" w14:textId="77777777" w:rsidR="00BF2708" w:rsidRPr="0047749E" w:rsidRDefault="007858AB">
      <w:pPr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lang w:val="en-US"/>
        </w:rPr>
        <w:br w:type="page"/>
      </w:r>
    </w:p>
    <w:p w14:paraId="0000037C" w14:textId="54CAAD2B" w:rsidR="00BF2708" w:rsidRDefault="0029756B">
      <w:pPr>
        <w:spacing w:line="48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623816" wp14:editId="6D7BF7B5">
            <wp:extent cx="5731510" cy="50876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37D" w14:textId="04ABBFFF" w:rsidR="00BF2708" w:rsidRPr="0047749E" w:rsidRDefault="007858AB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Supplementary Figure </w:t>
      </w:r>
      <w:r w:rsidR="00FF0A72">
        <w:rPr>
          <w:rFonts w:ascii="Arial" w:eastAsia="Arial" w:hAnsi="Arial" w:cs="Arial"/>
          <w:b/>
          <w:sz w:val="24"/>
          <w:szCs w:val="24"/>
          <w:lang w:val="en-US"/>
        </w:rPr>
        <w:t>2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. 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Growth and cell morphology of 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V. cholerae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co969 </w:t>
      </w:r>
      <w:r w:rsidR="005334E6">
        <w:rPr>
          <w:rFonts w:ascii="Arial" w:eastAsia="Arial" w:hAnsi="Arial" w:cs="Arial"/>
          <w:sz w:val="24"/>
          <w:szCs w:val="24"/>
          <w:lang w:val="en-US"/>
        </w:rPr>
        <w:t>WT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and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strains at different temperatures. </w:t>
      </w:r>
      <w:r w:rsidR="006F623F" w:rsidRPr="006F623F">
        <w:rPr>
          <w:rFonts w:ascii="Arial" w:eastAsia="Arial" w:hAnsi="Arial" w:cs="Arial"/>
          <w:b/>
          <w:bCs/>
          <w:sz w:val="24"/>
          <w:szCs w:val="24"/>
          <w:lang w:val="en-US"/>
        </w:rPr>
        <w:t>A.</w:t>
      </w:r>
      <w:r w:rsidR="006F623F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0029756B">
        <w:rPr>
          <w:rFonts w:ascii="Arial" w:eastAsia="Arial" w:hAnsi="Arial" w:cs="Arial"/>
          <w:sz w:val="24"/>
          <w:szCs w:val="24"/>
          <w:lang w:val="en-US"/>
        </w:rPr>
        <w:t>G</w:t>
      </w:r>
      <w:r w:rsidRPr="0047749E">
        <w:rPr>
          <w:rFonts w:ascii="Arial" w:eastAsia="Arial" w:hAnsi="Arial" w:cs="Arial"/>
          <w:sz w:val="24"/>
          <w:szCs w:val="24"/>
          <w:lang w:val="en-US"/>
        </w:rPr>
        <w:t>rowth curves of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 w:rsidR="006F623F" w:rsidRPr="006F623F">
        <w:rPr>
          <w:rFonts w:ascii="Arial" w:eastAsia="Arial" w:hAnsi="Arial" w:cs="Arial"/>
          <w:iCs/>
          <w:sz w:val="24"/>
          <w:szCs w:val="24"/>
          <w:lang w:val="en-US"/>
        </w:rPr>
        <w:t>WT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strains at 37</w:t>
      </w:r>
      <w:r w:rsidR="006F623F">
        <w:rPr>
          <w:rFonts w:ascii="Arial" w:eastAsia="Arial" w:hAnsi="Arial" w:cs="Arial"/>
          <w:sz w:val="24"/>
          <w:szCs w:val="24"/>
          <w:lang w:val="en-US"/>
        </w:rPr>
        <w:t xml:space="preserve">,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30</w:t>
      </w:r>
      <w:r w:rsidR="006F623F">
        <w:rPr>
          <w:rFonts w:ascii="Arial" w:eastAsia="Arial" w:hAnsi="Arial" w:cs="Arial"/>
          <w:sz w:val="24"/>
          <w:szCs w:val="24"/>
          <w:lang w:val="en-US"/>
        </w:rPr>
        <w:t xml:space="preserve"> and 22º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C. </w:t>
      </w:r>
      <w:r w:rsidR="006F623F" w:rsidRPr="006B1432">
        <w:rPr>
          <w:rFonts w:ascii="Arial" w:eastAsia="Arial" w:hAnsi="Arial" w:cs="Arial"/>
          <w:b/>
          <w:bCs/>
          <w:sz w:val="24"/>
          <w:szCs w:val="24"/>
          <w:lang w:val="en-US"/>
        </w:rPr>
        <w:t>B.</w:t>
      </w:r>
      <w:r w:rsidR="006F623F" w:rsidRPr="006B1432">
        <w:rPr>
          <w:rFonts w:ascii="Arial" w:eastAsia="Arial" w:hAnsi="Arial" w:cs="Arial"/>
          <w:sz w:val="24"/>
          <w:szCs w:val="24"/>
          <w:lang w:val="en-US"/>
        </w:rPr>
        <w:t xml:space="preserve"> Viability of WT</w:t>
      </w:r>
      <w:r w:rsidRPr="006B1432">
        <w:rPr>
          <w:rFonts w:ascii="Arial" w:eastAsia="Arial" w:hAnsi="Arial" w:cs="Arial"/>
          <w:sz w:val="24"/>
          <w:szCs w:val="24"/>
          <w:lang w:val="en-US"/>
        </w:rPr>
        <w:t xml:space="preserve"> and </w:t>
      </w:r>
      <w:r w:rsidRPr="006B1432"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6B1432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6B1432">
        <w:rPr>
          <w:rFonts w:ascii="Arial" w:eastAsia="Arial" w:hAnsi="Arial" w:cs="Arial"/>
          <w:sz w:val="24"/>
          <w:szCs w:val="24"/>
          <w:lang w:val="en-US"/>
        </w:rPr>
        <w:t xml:space="preserve"> strains at </w:t>
      </w:r>
      <w:r w:rsidR="006F623F" w:rsidRPr="006B1432">
        <w:rPr>
          <w:rFonts w:ascii="Arial" w:eastAsia="Arial" w:hAnsi="Arial" w:cs="Arial"/>
          <w:sz w:val="24"/>
          <w:szCs w:val="24"/>
          <w:lang w:val="en-US"/>
        </w:rPr>
        <w:t>37</w:t>
      </w:r>
      <w:r w:rsidR="0029756B">
        <w:rPr>
          <w:rFonts w:ascii="Arial" w:eastAsia="Arial" w:hAnsi="Arial" w:cs="Arial"/>
          <w:sz w:val="24"/>
          <w:szCs w:val="24"/>
          <w:lang w:val="en-US"/>
        </w:rPr>
        <w:t>ºC</w:t>
      </w:r>
      <w:r w:rsidR="006F623F" w:rsidRPr="006B1432">
        <w:rPr>
          <w:rFonts w:ascii="Arial" w:eastAsia="Arial" w:hAnsi="Arial" w:cs="Arial"/>
          <w:sz w:val="24"/>
          <w:szCs w:val="24"/>
          <w:lang w:val="en-US"/>
        </w:rPr>
        <w:t xml:space="preserve"> and </w:t>
      </w:r>
      <w:r w:rsidRPr="006B1432">
        <w:rPr>
          <w:rFonts w:ascii="Arial" w:eastAsia="Arial" w:hAnsi="Arial" w:cs="Arial"/>
          <w:sz w:val="24"/>
          <w:szCs w:val="24"/>
          <w:lang w:val="en-US"/>
        </w:rPr>
        <w:t>22ºC</w:t>
      </w:r>
      <w:r w:rsidR="006F623F" w:rsidRPr="006B1432">
        <w:rPr>
          <w:rFonts w:ascii="Arial" w:eastAsia="Arial" w:hAnsi="Arial" w:cs="Arial"/>
          <w:sz w:val="24"/>
          <w:szCs w:val="24"/>
          <w:lang w:val="en-US"/>
        </w:rPr>
        <w:t>.</w:t>
      </w:r>
      <w:r w:rsidRPr="006B1432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006F623F" w:rsidRPr="006B1432">
        <w:rPr>
          <w:rFonts w:ascii="Arial" w:eastAsia="Arial" w:hAnsi="Arial" w:cs="Arial"/>
          <w:b/>
          <w:bCs/>
          <w:sz w:val="24"/>
          <w:szCs w:val="24"/>
          <w:lang w:val="en-US"/>
        </w:rPr>
        <w:t>C.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006F623F">
        <w:rPr>
          <w:rFonts w:ascii="Arial" w:eastAsia="Arial" w:hAnsi="Arial" w:cs="Arial"/>
          <w:sz w:val="24"/>
          <w:szCs w:val="24"/>
          <w:lang w:val="en-US"/>
        </w:rPr>
        <w:t>M</w:t>
      </w:r>
      <w:r w:rsidRPr="0047749E">
        <w:rPr>
          <w:rFonts w:ascii="Arial" w:eastAsia="Arial" w:hAnsi="Arial" w:cs="Arial"/>
          <w:sz w:val="24"/>
          <w:szCs w:val="24"/>
          <w:lang w:val="en-US"/>
        </w:rPr>
        <w:t>orphology of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co969 and co969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grown at 37ºC or 22ºC in stationary phase.</w:t>
      </w:r>
    </w:p>
    <w:p w14:paraId="0000037E" w14:textId="77777777" w:rsidR="00BF2708" w:rsidRPr="0047749E" w:rsidRDefault="007858AB">
      <w:pPr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lang w:val="en-US"/>
        </w:rPr>
        <w:br w:type="page"/>
      </w:r>
    </w:p>
    <w:p w14:paraId="0000037F" w14:textId="691F01C6" w:rsidR="00BF2708" w:rsidRPr="00612A77" w:rsidRDefault="00612A77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593E803" wp14:editId="116B784F">
            <wp:extent cx="5731510" cy="33305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381" w14:textId="059AC705" w:rsidR="00BF2708" w:rsidRPr="0047749E" w:rsidRDefault="007858AB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Supplementary Figure </w:t>
      </w:r>
      <w:r w:rsidR="00FF0A72">
        <w:rPr>
          <w:rFonts w:ascii="Arial" w:eastAsia="Arial" w:hAnsi="Arial" w:cs="Arial"/>
          <w:b/>
          <w:sz w:val="24"/>
          <w:szCs w:val="24"/>
          <w:lang w:val="en-US"/>
        </w:rPr>
        <w:t>3</w:t>
      </w:r>
      <w:r w:rsidRPr="0047749E">
        <w:rPr>
          <w:rFonts w:ascii="Arial" w:eastAsia="Arial" w:hAnsi="Arial" w:cs="Arial"/>
          <w:b/>
          <w:color w:val="000000"/>
          <w:sz w:val="24"/>
          <w:szCs w:val="24"/>
          <w:lang w:val="en-US"/>
        </w:rPr>
        <w:t xml:space="preserve">. </w:t>
      </w:r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Interplay of </w:t>
      </w:r>
      <w:proofErr w:type="spellStart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with known biofilm regulators.</w:t>
      </w:r>
    </w:p>
    <w:p w14:paraId="06FA4AA7" w14:textId="77777777" w:rsidR="0047749E" w:rsidRDefault="007858AB" w:rsidP="0047749E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t>A.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Colony morphology at 37ºC and 22ºC of co969, co</w:t>
      </w:r>
      <w:proofErr w:type="gramStart"/>
      <w:r w:rsidRPr="0047749E">
        <w:rPr>
          <w:rFonts w:ascii="Arial" w:eastAsia="Arial" w:hAnsi="Arial" w:cs="Arial"/>
          <w:sz w:val="24"/>
          <w:szCs w:val="24"/>
          <w:lang w:val="en-US"/>
        </w:rPr>
        <w:t>969: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</w:t>
      </w:r>
      <w:proofErr w:type="gram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(with a chromosomal replacement of the mutant 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from co969 with the active 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from C6706, 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), and their respective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mutant variants. 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>B.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Colony morphology at 37ºC and 22ºC of C6706, C6706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, and their respective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mutant variants. 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>C.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Colony morphology at 37ºC and 22ºC of co969, co969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vpsR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, co969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vpsT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, co969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vqmA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, and their respective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mutant variants. To the right, schematic showing the impact of these different regulators on biofilm. The incubation times at 37ºC or 22ºC, leading to colonies with a similar number of CFUs/ colony, are indicated for each case.</w:t>
      </w:r>
    </w:p>
    <w:p w14:paraId="0B524010" w14:textId="77777777" w:rsidR="0047749E" w:rsidRDefault="0047749E" w:rsidP="00612A77">
      <w:pPr>
        <w:jc w:val="both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br w:type="page"/>
      </w:r>
    </w:p>
    <w:p w14:paraId="00000388" w14:textId="3D77DCB3" w:rsidR="00BF2708" w:rsidRPr="00CA45C1" w:rsidRDefault="00612A77" w:rsidP="00612A77">
      <w:pPr>
        <w:spacing w:line="48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A5A89A8" wp14:editId="2AE709F8">
            <wp:extent cx="5510676" cy="244885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488" cy="24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38B" w14:textId="37C832E9" w:rsidR="00BF2708" w:rsidRPr="0047749E" w:rsidRDefault="007858AB" w:rsidP="00612A77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Supplementary Figure </w:t>
      </w:r>
      <w:r w:rsidR="00072078">
        <w:rPr>
          <w:rFonts w:ascii="Arial" w:eastAsia="Arial" w:hAnsi="Arial" w:cs="Arial"/>
          <w:b/>
          <w:sz w:val="24"/>
          <w:szCs w:val="24"/>
          <w:lang w:val="en-US"/>
        </w:rPr>
        <w:t>4</w:t>
      </w:r>
      <w:r w:rsidR="00F96A49">
        <w:rPr>
          <w:rFonts w:ascii="Arial" w:eastAsia="Arial" w:hAnsi="Arial" w:cs="Arial"/>
          <w:b/>
          <w:color w:val="000000"/>
          <w:sz w:val="24"/>
          <w:szCs w:val="24"/>
          <w:lang w:val="en-US"/>
        </w:rPr>
        <w:t xml:space="preserve">. </w:t>
      </w:r>
      <w:proofErr w:type="spellStart"/>
      <w:r w:rsidR="00F96A49" w:rsidRPr="00F96A49">
        <w:rPr>
          <w:rFonts w:ascii="Arial" w:eastAsia="Arial" w:hAnsi="Arial" w:cs="Arial"/>
          <w:bCs/>
          <w:color w:val="000000"/>
          <w:sz w:val="24"/>
          <w:szCs w:val="24"/>
          <w:lang w:val="en-US"/>
        </w:rPr>
        <w:t>BipA</w:t>
      </w:r>
      <w:proofErr w:type="spellEnd"/>
      <w:r w:rsidR="00F96A49" w:rsidRPr="00F96A49">
        <w:rPr>
          <w:rFonts w:ascii="Arial" w:eastAsia="Arial" w:hAnsi="Arial" w:cs="Arial"/>
          <w:bCs/>
          <w:color w:val="000000"/>
          <w:sz w:val="24"/>
          <w:szCs w:val="24"/>
          <w:lang w:val="en-US"/>
        </w:rPr>
        <w:t xml:space="preserve"> protein s</w:t>
      </w:r>
      <w:r w:rsidRPr="00F96A49">
        <w:rPr>
          <w:rFonts w:ascii="Arial" w:eastAsia="Arial" w:hAnsi="Arial" w:cs="Arial"/>
          <w:bCs/>
          <w:sz w:val="24"/>
          <w:szCs w:val="24"/>
          <w:lang w:val="en-US"/>
        </w:rPr>
        <w:t>tability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at different temperatures.</w:t>
      </w:r>
      <w:r w:rsidR="004C6CE3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Circular dichroism curve (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mdeg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represented against wavelength) of purified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-His pre-incubated at different temperatures (37ºC, 22ºC or 15ºC) for 30 min, or pre-incubated at 37ºC for 30 min and then sifted to 22ºC and further incubated for 30 min. </w:t>
      </w:r>
      <w:r w:rsidRPr="004D4716">
        <w:rPr>
          <w:rFonts w:ascii="Arial" w:eastAsia="Arial" w:hAnsi="Arial" w:cs="Arial"/>
          <w:sz w:val="24"/>
          <w:szCs w:val="24"/>
          <w:lang w:val="en-US"/>
        </w:rPr>
        <w:t>Boxed graph shows the CD curve between 200 and 220 nm.</w:t>
      </w:r>
    </w:p>
    <w:p w14:paraId="0000038C" w14:textId="474E6982" w:rsidR="00BF2708" w:rsidRDefault="007858AB" w:rsidP="00612A77">
      <w:pPr>
        <w:spacing w:line="48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7749E">
        <w:rPr>
          <w:lang w:val="en-US"/>
        </w:rPr>
        <w:br w:type="page"/>
      </w:r>
    </w:p>
    <w:p w14:paraId="0000038D" w14:textId="2240E4EA" w:rsidR="00BF2708" w:rsidRDefault="00612A77">
      <w:pPr>
        <w:spacing w:line="48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9ABBC7" wp14:editId="7F50FA3A">
            <wp:extent cx="5731510" cy="65754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38E" w14:textId="77CAD250" w:rsidR="00BF2708" w:rsidRPr="0047749E" w:rsidRDefault="007858AB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Supplementary Figure </w:t>
      </w:r>
      <w:r w:rsidR="00072078">
        <w:rPr>
          <w:rFonts w:ascii="Arial" w:eastAsia="Arial" w:hAnsi="Arial" w:cs="Arial"/>
          <w:b/>
          <w:sz w:val="24"/>
          <w:szCs w:val="24"/>
          <w:lang w:val="en-US"/>
        </w:rPr>
        <w:t>5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. 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V. cholerae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is not degraded by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LonA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protease.</w:t>
      </w:r>
    </w:p>
    <w:p w14:paraId="0000038F" w14:textId="609C84E2" w:rsidR="00BF2708" w:rsidRPr="0047749E" w:rsidRDefault="007858AB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A. 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Transposon mutagenesis screening for 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V.</w:t>
      </w:r>
      <w:r w:rsidR="004C6CE3">
        <w:rPr>
          <w:rFonts w:ascii="Arial" w:eastAsia="Arial" w:hAnsi="Arial" w:cs="Arial"/>
          <w:i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cholerae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co969 mutants with a smooth colony morphology at 37ºC led to identification of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LonA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. Left, example of a LB (10 g/l NaCl) + Sm200 + Km50 agar plate used for selection of transposon mutants with a smooth colony phenotype at 37ºC (indicated with a red arrow). The number of </w:t>
      </w:r>
      <w:r w:rsidRPr="0047749E">
        <w:rPr>
          <w:rFonts w:ascii="Arial" w:eastAsia="Arial" w:hAnsi="Arial" w:cs="Arial"/>
          <w:sz w:val="24"/>
          <w:szCs w:val="24"/>
          <w:lang w:val="en-US"/>
        </w:rPr>
        <w:lastRenderedPageBreak/>
        <w:t xml:space="preserve">screened transposon mutants, smooth colonies </w:t>
      </w:r>
      <w:proofErr w:type="gramStart"/>
      <w:r w:rsidRPr="0047749E">
        <w:rPr>
          <w:rFonts w:ascii="Arial" w:eastAsia="Arial" w:hAnsi="Arial" w:cs="Arial"/>
          <w:sz w:val="24"/>
          <w:szCs w:val="24"/>
          <w:lang w:val="en-US"/>
        </w:rPr>
        <w:t>selected</w:t>
      </w:r>
      <w:proofErr w:type="gram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and final number of truncated genes is indicated to the right. 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B. 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Colony morphology at 37ºC and 22ºC of co969, co969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lonA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and their respective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i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counterpart. 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C. 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Colony morphology at 37ºC and 22ºC of co969, co969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and co969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lonA</w:t>
      </w:r>
      <w:proofErr w:type="spellEnd"/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either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carrying pHL100-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lonA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or pHL100-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, to either overexpress 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lonA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or 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i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from the IPTG-induci</w:t>
      </w:r>
      <w:r w:rsidR="00612A77">
        <w:rPr>
          <w:rFonts w:ascii="Arial" w:eastAsia="Arial" w:hAnsi="Arial" w:cs="Arial"/>
          <w:sz w:val="24"/>
          <w:szCs w:val="24"/>
          <w:lang w:val="en-US"/>
        </w:rPr>
        <w:t>b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le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P</w:t>
      </w:r>
      <w:r w:rsidRPr="0047749E">
        <w:rPr>
          <w:rFonts w:ascii="Arial" w:eastAsia="Arial" w:hAnsi="Arial" w:cs="Arial"/>
          <w:i/>
          <w:sz w:val="24"/>
          <w:szCs w:val="24"/>
          <w:vertAlign w:val="subscript"/>
          <w:lang w:val="en-US"/>
        </w:rPr>
        <w:t>lac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promoter, or the pHL100 empty vector. 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D. 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Western blot showing the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-flag levels from 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V. cholerae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co</w:t>
      </w:r>
      <w:proofErr w:type="gramStart"/>
      <w:r w:rsidRPr="0047749E">
        <w:rPr>
          <w:rFonts w:ascii="Arial" w:eastAsia="Arial" w:hAnsi="Arial" w:cs="Arial"/>
          <w:sz w:val="24"/>
          <w:szCs w:val="24"/>
          <w:lang w:val="en-US"/>
        </w:rPr>
        <w:t>969: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gram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-flag and co969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lonA</w:t>
      </w:r>
      <w:r w:rsidRPr="0047749E">
        <w:rPr>
          <w:rFonts w:ascii="Arial" w:eastAsia="Arial" w:hAnsi="Arial" w:cs="Arial"/>
          <w:sz w:val="24"/>
          <w:szCs w:val="24"/>
          <w:lang w:val="en-US"/>
        </w:rPr>
        <w:t>: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r w:rsidRPr="0047749E">
        <w:rPr>
          <w:rFonts w:ascii="Arial" w:eastAsia="Arial" w:hAnsi="Arial" w:cs="Arial"/>
          <w:sz w:val="24"/>
          <w:szCs w:val="24"/>
          <w:lang w:val="en-US"/>
        </w:rPr>
        <w:t>-flag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rugose colonies grown at 37ºC or smooth colonies grown at 22ºC. 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V. cholerae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co969 and co969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lonA</w:t>
      </w:r>
      <w:proofErr w:type="spellEnd"/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strains were used as a negative control. The gel is a representative of 2 independent experiments, each containing 2 biological replicates, containing each biological replicate 2 colonies pooled together.</w:t>
      </w:r>
    </w:p>
    <w:p w14:paraId="00000390" w14:textId="77777777" w:rsidR="00BF2708" w:rsidRPr="0047749E" w:rsidRDefault="007858AB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lang w:val="en-US"/>
        </w:rPr>
        <w:br w:type="page"/>
      </w:r>
    </w:p>
    <w:p w14:paraId="00000395" w14:textId="6E7223E4" w:rsidR="00BF2708" w:rsidRDefault="00612A77">
      <w:pPr>
        <w:spacing w:line="480" w:lineRule="auto"/>
        <w:jc w:val="both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2BD7DCDD" wp14:editId="4E139C00">
            <wp:extent cx="4972556" cy="568599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3914" cy="56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397" w14:textId="21977250" w:rsidR="00BF2708" w:rsidRPr="0047749E" w:rsidRDefault="007858AB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Supplementary Figure </w:t>
      </w:r>
      <w:r w:rsidR="00072078">
        <w:rPr>
          <w:rFonts w:ascii="Arial" w:eastAsia="Arial" w:hAnsi="Arial" w:cs="Arial"/>
          <w:b/>
          <w:sz w:val="24"/>
          <w:szCs w:val="24"/>
          <w:lang w:val="en-US"/>
        </w:rPr>
        <w:t>6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. 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Effect of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on motility. </w:t>
      </w:r>
    </w:p>
    <w:p w14:paraId="282E4F85" w14:textId="725B086D" w:rsidR="00FF7C64" w:rsidRPr="00044661" w:rsidRDefault="007858AB" w:rsidP="00FF7C64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A. </w:t>
      </w:r>
      <w:r w:rsidR="004C6CE3" w:rsidRPr="004C6CE3">
        <w:rPr>
          <w:rFonts w:ascii="Arial" w:eastAsia="Arial" w:hAnsi="Arial" w:cs="Arial"/>
          <w:bCs/>
          <w:sz w:val="24"/>
          <w:szCs w:val="24"/>
          <w:lang w:val="en-US"/>
        </w:rPr>
        <w:t>Upper panel:</w:t>
      </w:r>
      <w:r w:rsidR="004C6CE3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 w:rsidR="004C6CE3">
        <w:rPr>
          <w:rFonts w:ascii="Arial" w:eastAsia="Arial" w:hAnsi="Arial" w:cs="Arial"/>
          <w:sz w:val="24"/>
          <w:szCs w:val="24"/>
          <w:lang w:val="en-US"/>
        </w:rPr>
        <w:t>m</w:t>
      </w:r>
      <w:r w:rsidRPr="0047749E">
        <w:rPr>
          <w:rFonts w:ascii="Arial" w:eastAsia="Arial" w:hAnsi="Arial" w:cs="Arial"/>
          <w:sz w:val="24"/>
          <w:szCs w:val="24"/>
          <w:lang w:val="en-US"/>
        </w:rPr>
        <w:t>otility of co969 and co969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i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on 0.3% agar plates at 37ºC (left) and 22ºC (right) after the indicated times. The relative motility between co969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and co969 (in %) at 37ºC or 22ºC is indicated on the </w:t>
      </w:r>
      <w:r w:rsidRPr="004C6CE3">
        <w:rPr>
          <w:rFonts w:ascii="Arial" w:eastAsia="Arial" w:hAnsi="Arial" w:cs="Arial"/>
          <w:sz w:val="24"/>
          <w:szCs w:val="24"/>
          <w:lang w:val="en-US"/>
        </w:rPr>
        <w:t xml:space="preserve">right. </w:t>
      </w:r>
      <w:r w:rsidR="004C6CE3" w:rsidRPr="004C6CE3">
        <w:rPr>
          <w:rFonts w:ascii="Arial" w:eastAsia="Arial" w:hAnsi="Arial" w:cs="Arial"/>
          <w:sz w:val="24"/>
          <w:szCs w:val="24"/>
          <w:lang w:val="en-US"/>
        </w:rPr>
        <w:t>Lower panel: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 w:rsidR="004C6CE3">
        <w:rPr>
          <w:rFonts w:ascii="Arial" w:eastAsia="Arial" w:hAnsi="Arial" w:cs="Arial"/>
          <w:sz w:val="24"/>
          <w:szCs w:val="24"/>
          <w:lang w:val="en-US"/>
        </w:rPr>
        <w:t>m</w:t>
      </w:r>
      <w:r w:rsidRPr="0047749E">
        <w:rPr>
          <w:rFonts w:ascii="Arial" w:eastAsia="Arial" w:hAnsi="Arial" w:cs="Arial"/>
          <w:sz w:val="24"/>
          <w:szCs w:val="24"/>
          <w:lang w:val="en-US"/>
        </w:rPr>
        <w:t>otility of co969 and co969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i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either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carrying pHL100-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, for overexpression of 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from the IPTG-inducible 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P</w:t>
      </w:r>
      <w:r w:rsidRPr="0047749E">
        <w:rPr>
          <w:rFonts w:ascii="Arial" w:eastAsia="Arial" w:hAnsi="Arial" w:cs="Arial"/>
          <w:i/>
          <w:sz w:val="24"/>
          <w:szCs w:val="24"/>
          <w:vertAlign w:val="subscript"/>
          <w:lang w:val="en-US"/>
        </w:rPr>
        <w:t>lac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promoter, or the empty plasmid pHL100 on 0.3% agar plates with Km (50 µg/ml) and IPTG (isopropyl-</w:t>
      </w:r>
      <w:r>
        <w:rPr>
          <w:rFonts w:ascii="Arial" w:eastAsia="Arial" w:hAnsi="Arial" w:cs="Arial"/>
          <w:sz w:val="24"/>
          <w:szCs w:val="24"/>
        </w:rPr>
        <w:t>β</w:t>
      </w:r>
      <w:r w:rsidRPr="0047749E">
        <w:rPr>
          <w:rFonts w:ascii="Arial" w:eastAsia="Arial" w:hAnsi="Arial" w:cs="Arial"/>
          <w:sz w:val="24"/>
          <w:szCs w:val="24"/>
          <w:lang w:val="en-US"/>
        </w:rPr>
        <w:t>-d-</w:t>
      </w:r>
      <w:proofErr w:type="spellStart"/>
      <w:r w:rsidRPr="0047749E">
        <w:rPr>
          <w:rFonts w:ascii="Arial" w:eastAsia="Arial" w:hAnsi="Arial" w:cs="Arial"/>
          <w:sz w:val="24"/>
          <w:szCs w:val="24"/>
          <w:lang w:val="en-US"/>
        </w:rPr>
        <w:t>thiogalactosidase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>, 1 mM) at 37ºC (left) and 22ºC (right) after the indicated times. The relative motility between co969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lastRenderedPageBreak/>
        <w:t>and co969 (in %), either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carrying pHL100-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or pHL100, at 37ºC or 22ºC is indicated on the right. </w:t>
      </w:r>
      <w:r w:rsidR="004C6CE3">
        <w:rPr>
          <w:rFonts w:ascii="Arial" w:eastAsia="Arial" w:hAnsi="Arial" w:cs="Arial"/>
          <w:b/>
          <w:sz w:val="24"/>
          <w:szCs w:val="24"/>
          <w:lang w:val="en-US"/>
        </w:rPr>
        <w:t>B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.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Motility of co</w:t>
      </w:r>
      <w:proofErr w:type="gramStart"/>
      <w:r w:rsidRPr="0047749E">
        <w:rPr>
          <w:rFonts w:ascii="Arial" w:eastAsia="Arial" w:hAnsi="Arial" w:cs="Arial"/>
          <w:sz w:val="24"/>
          <w:szCs w:val="24"/>
          <w:lang w:val="en-US"/>
        </w:rPr>
        <w:t>969: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</w:t>
      </w:r>
      <w:proofErr w:type="gram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and co969: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</w:t>
      </w:r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, with a chromosomal exchange of the mutant 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from co969 for the active 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of C6706,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 xml:space="preserve"> </w:t>
      </w:r>
      <w:r w:rsidRPr="0047749E">
        <w:rPr>
          <w:rFonts w:ascii="Arial" w:eastAsia="Arial" w:hAnsi="Arial" w:cs="Arial"/>
          <w:sz w:val="24"/>
          <w:szCs w:val="24"/>
          <w:lang w:val="en-US"/>
        </w:rPr>
        <w:t>on 0.3% agar plates at 37ºC (left) and 22ºC (right) after the indicated times. The relative motility between co</w:t>
      </w:r>
      <w:proofErr w:type="gramStart"/>
      <w:r w:rsidRPr="0047749E">
        <w:rPr>
          <w:rFonts w:ascii="Arial" w:eastAsia="Arial" w:hAnsi="Arial" w:cs="Arial"/>
          <w:sz w:val="24"/>
          <w:szCs w:val="24"/>
          <w:lang w:val="en-US"/>
        </w:rPr>
        <w:t>969: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</w:t>
      </w:r>
      <w:proofErr w:type="gramEnd"/>
      <w:r w:rsidRPr="0047749E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Δ</w:t>
      </w:r>
      <w:proofErr w:type="spellStart"/>
      <w:r w:rsidRPr="0047749E">
        <w:rPr>
          <w:rFonts w:ascii="Arial" w:eastAsia="Arial" w:hAnsi="Arial" w:cs="Arial"/>
          <w:i/>
          <w:sz w:val="24"/>
          <w:szCs w:val="24"/>
          <w:lang w:val="en-US"/>
        </w:rPr>
        <w:t>bipA</w:t>
      </w:r>
      <w:proofErr w:type="spellEnd"/>
      <w:r w:rsidRPr="0047749E">
        <w:rPr>
          <w:rFonts w:ascii="Arial" w:eastAsia="Arial" w:hAnsi="Arial" w:cs="Arial"/>
          <w:sz w:val="24"/>
          <w:szCs w:val="24"/>
          <w:lang w:val="en-US"/>
        </w:rPr>
        <w:t xml:space="preserve"> and co969:</w:t>
      </w:r>
      <w:r w:rsidRPr="0047749E">
        <w:rPr>
          <w:rFonts w:ascii="Arial" w:eastAsia="Arial" w:hAnsi="Arial" w:cs="Arial"/>
          <w:i/>
          <w:sz w:val="24"/>
          <w:szCs w:val="24"/>
          <w:lang w:val="en-US"/>
        </w:rPr>
        <w:t>hapR</w:t>
      </w:r>
      <w:r w:rsidRPr="0047749E">
        <w:rPr>
          <w:rFonts w:ascii="Arial" w:eastAsia="Arial" w:hAnsi="Arial" w:cs="Arial"/>
          <w:sz w:val="24"/>
          <w:szCs w:val="24"/>
          <w:lang w:val="en-US"/>
        </w:rPr>
        <w:t>c (in %) at 37ºC or 22ºC is indicated to the right. Relative motility values are the average of 2 independent experiments each containing at least 3 biological replicates ± standard deviation.</w:t>
      </w:r>
    </w:p>
    <w:sectPr w:rsidR="00FF7C64" w:rsidRPr="00044661" w:rsidSect="00DD0BDD">
      <w:pgSz w:w="11906" w:h="16838"/>
      <w:pgMar w:top="1440" w:right="1440" w:bottom="1440" w:left="144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708"/>
    <w:rsid w:val="00017163"/>
    <w:rsid w:val="00044661"/>
    <w:rsid w:val="00072078"/>
    <w:rsid w:val="001056F1"/>
    <w:rsid w:val="00146578"/>
    <w:rsid w:val="001740D6"/>
    <w:rsid w:val="002478DD"/>
    <w:rsid w:val="002633E2"/>
    <w:rsid w:val="00276E02"/>
    <w:rsid w:val="0029756B"/>
    <w:rsid w:val="002B0B8E"/>
    <w:rsid w:val="00350BB6"/>
    <w:rsid w:val="00422E7F"/>
    <w:rsid w:val="0045529D"/>
    <w:rsid w:val="0047749E"/>
    <w:rsid w:val="004C6CE3"/>
    <w:rsid w:val="004D178B"/>
    <w:rsid w:val="004D4716"/>
    <w:rsid w:val="005334E6"/>
    <w:rsid w:val="005A6B21"/>
    <w:rsid w:val="00612A77"/>
    <w:rsid w:val="00676DD6"/>
    <w:rsid w:val="006B1432"/>
    <w:rsid w:val="006F60A1"/>
    <w:rsid w:val="006F623F"/>
    <w:rsid w:val="00700F2E"/>
    <w:rsid w:val="00721019"/>
    <w:rsid w:val="007858AB"/>
    <w:rsid w:val="007B783E"/>
    <w:rsid w:val="007D3D34"/>
    <w:rsid w:val="00842E51"/>
    <w:rsid w:val="00883E00"/>
    <w:rsid w:val="00931D8B"/>
    <w:rsid w:val="00935820"/>
    <w:rsid w:val="009543CF"/>
    <w:rsid w:val="009820F4"/>
    <w:rsid w:val="009D50F1"/>
    <w:rsid w:val="00AF6CC6"/>
    <w:rsid w:val="00B427DD"/>
    <w:rsid w:val="00BE5BB6"/>
    <w:rsid w:val="00BF2708"/>
    <w:rsid w:val="00C15D2C"/>
    <w:rsid w:val="00C16745"/>
    <w:rsid w:val="00C77D10"/>
    <w:rsid w:val="00CA45C1"/>
    <w:rsid w:val="00CA5673"/>
    <w:rsid w:val="00D1522B"/>
    <w:rsid w:val="00D60BB2"/>
    <w:rsid w:val="00D63143"/>
    <w:rsid w:val="00DC1648"/>
    <w:rsid w:val="00DD0BDD"/>
    <w:rsid w:val="00DF72FB"/>
    <w:rsid w:val="00E41A74"/>
    <w:rsid w:val="00E83E8E"/>
    <w:rsid w:val="00EA08E1"/>
    <w:rsid w:val="00EA6317"/>
    <w:rsid w:val="00F53CB9"/>
    <w:rsid w:val="00F8542B"/>
    <w:rsid w:val="00F96A49"/>
    <w:rsid w:val="00FF0A72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E929C3"/>
  <w15:docId w15:val="{127CFF0D-42F9-4743-A88C-9B5D7E66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E80"/>
    <w:rPr>
      <w:lang w:val="sv-S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377E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4Char">
    <w:name w:val="Heading 4 Char"/>
    <w:basedOn w:val="DefaultParagraphFont"/>
    <w:link w:val="Heading4"/>
    <w:uiPriority w:val="9"/>
    <w:rsid w:val="00377E80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77E80"/>
    <w:rPr>
      <w:i/>
      <w:iCs/>
    </w:rPr>
  </w:style>
  <w:style w:type="character" w:styleId="Hyperlink">
    <w:name w:val="Hyperlink"/>
    <w:basedOn w:val="DefaultParagraphFont"/>
    <w:uiPriority w:val="99"/>
    <w:unhideWhenUsed/>
    <w:rsid w:val="00377E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377E80"/>
    <w:pPr>
      <w:spacing w:after="0" w:line="240" w:lineRule="auto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77E80"/>
    <w:rPr>
      <w:rFonts w:ascii="Consolas" w:hAnsi="Consolas"/>
      <w:sz w:val="21"/>
      <w:szCs w:val="21"/>
    </w:rPr>
  </w:style>
  <w:style w:type="character" w:customStyle="1" w:styleId="element-citation">
    <w:name w:val="element-citation"/>
    <w:basedOn w:val="DefaultParagraphFont"/>
    <w:rsid w:val="00377E80"/>
  </w:style>
  <w:style w:type="character" w:styleId="LineNumber">
    <w:name w:val="line number"/>
    <w:basedOn w:val="DefaultParagraphFont"/>
    <w:uiPriority w:val="99"/>
    <w:semiHidden/>
    <w:unhideWhenUsed/>
    <w:rsid w:val="00377E80"/>
  </w:style>
  <w:style w:type="character" w:styleId="CommentReference">
    <w:name w:val="annotation reference"/>
    <w:basedOn w:val="DefaultParagraphFont"/>
    <w:uiPriority w:val="99"/>
    <w:unhideWhenUsed/>
    <w:rsid w:val="00377E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7E80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7E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E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E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E80"/>
    <w:pPr>
      <w:spacing w:after="0" w:line="240" w:lineRule="auto"/>
    </w:pPr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E8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77E8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377E80"/>
    <w:rPr>
      <w:color w:val="808080"/>
    </w:rPr>
  </w:style>
  <w:style w:type="table" w:styleId="TableGrid">
    <w:name w:val="Table Grid"/>
    <w:basedOn w:val="TableNormal"/>
    <w:uiPriority w:val="59"/>
    <w:rsid w:val="00377E8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2">
    <w:name w:val="title2"/>
    <w:basedOn w:val="DefaultParagraphFont"/>
    <w:rsid w:val="00377E80"/>
  </w:style>
  <w:style w:type="character" w:customStyle="1" w:styleId="figpopup-sensitive-area">
    <w:name w:val="figpopup-sensitive-area"/>
    <w:basedOn w:val="DefaultParagraphFont"/>
    <w:rsid w:val="00377E80"/>
  </w:style>
  <w:style w:type="character" w:customStyle="1" w:styleId="small-caps">
    <w:name w:val="small-caps"/>
    <w:basedOn w:val="DefaultParagraphFont"/>
    <w:rsid w:val="00377E80"/>
  </w:style>
  <w:style w:type="paragraph" w:styleId="NormalWeb">
    <w:name w:val="Normal (Web)"/>
    <w:basedOn w:val="Normal"/>
    <w:uiPriority w:val="99"/>
    <w:unhideWhenUsed/>
    <w:rsid w:val="0037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inline-l2-heading">
    <w:name w:val="inline-l2-heading"/>
    <w:basedOn w:val="DefaultParagraphFont"/>
    <w:rsid w:val="00377E80"/>
  </w:style>
  <w:style w:type="character" w:customStyle="1" w:styleId="named-content">
    <w:name w:val="named-content"/>
    <w:basedOn w:val="DefaultParagraphFont"/>
    <w:rsid w:val="00377E80"/>
  </w:style>
  <w:style w:type="character" w:customStyle="1" w:styleId="mixed-citation">
    <w:name w:val="mixed-citation"/>
    <w:basedOn w:val="DefaultParagraphFont"/>
    <w:rsid w:val="00377E80"/>
  </w:style>
  <w:style w:type="character" w:customStyle="1" w:styleId="pubyear">
    <w:name w:val="pubyear"/>
    <w:basedOn w:val="DefaultParagraphFont"/>
    <w:rsid w:val="00377E80"/>
  </w:style>
  <w:style w:type="paragraph" w:styleId="ListParagraph">
    <w:name w:val="List Paragraph"/>
    <w:basedOn w:val="Normal"/>
    <w:uiPriority w:val="34"/>
    <w:qFormat/>
    <w:rsid w:val="00377E80"/>
    <w:pPr>
      <w:ind w:left="720"/>
      <w:contextualSpacing/>
    </w:pPr>
    <w:rPr>
      <w:lang w:val="en-GB"/>
    </w:rPr>
  </w:style>
  <w:style w:type="character" w:customStyle="1" w:styleId="ref-title">
    <w:name w:val="ref-title"/>
    <w:basedOn w:val="DefaultParagraphFont"/>
    <w:rsid w:val="00377E80"/>
  </w:style>
  <w:style w:type="character" w:customStyle="1" w:styleId="ref-journal">
    <w:name w:val="ref-journal"/>
    <w:basedOn w:val="DefaultParagraphFont"/>
    <w:rsid w:val="00377E80"/>
  </w:style>
  <w:style w:type="character" w:customStyle="1" w:styleId="ref-vol">
    <w:name w:val="ref-vol"/>
    <w:basedOn w:val="DefaultParagraphFont"/>
    <w:rsid w:val="00377E80"/>
  </w:style>
  <w:style w:type="character" w:customStyle="1" w:styleId="articletitle">
    <w:name w:val="articletitle"/>
    <w:basedOn w:val="DefaultParagraphFont"/>
    <w:rsid w:val="00377E80"/>
  </w:style>
  <w:style w:type="character" w:customStyle="1" w:styleId="vol">
    <w:name w:val="vol"/>
    <w:basedOn w:val="DefaultParagraphFont"/>
    <w:rsid w:val="00377E80"/>
  </w:style>
  <w:style w:type="character" w:customStyle="1" w:styleId="bib-title">
    <w:name w:val="bib-title"/>
    <w:basedOn w:val="DefaultParagraphFont"/>
    <w:rsid w:val="00377E80"/>
  </w:style>
  <w:style w:type="character" w:customStyle="1" w:styleId="bib-journal">
    <w:name w:val="bib-journal"/>
    <w:basedOn w:val="DefaultParagraphFont"/>
    <w:rsid w:val="00377E80"/>
  </w:style>
  <w:style w:type="character" w:customStyle="1" w:styleId="bib-pages">
    <w:name w:val="bib-pages"/>
    <w:basedOn w:val="DefaultParagraphFont"/>
    <w:rsid w:val="00377E80"/>
  </w:style>
  <w:style w:type="paragraph" w:customStyle="1" w:styleId="desc">
    <w:name w:val="desc"/>
    <w:basedOn w:val="Normal"/>
    <w:rsid w:val="0037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jrnl">
    <w:name w:val="jrnl"/>
    <w:basedOn w:val="DefaultParagraphFont"/>
    <w:rsid w:val="00377E80"/>
  </w:style>
  <w:style w:type="character" w:styleId="Strong">
    <w:name w:val="Strong"/>
    <w:basedOn w:val="DefaultParagraphFont"/>
    <w:uiPriority w:val="22"/>
    <w:qFormat/>
    <w:rsid w:val="00377E80"/>
    <w:rPr>
      <w:b/>
      <w:bCs/>
    </w:rPr>
  </w:style>
  <w:style w:type="character" w:customStyle="1" w:styleId="cit-pub-date">
    <w:name w:val="cit-pub-date"/>
    <w:basedOn w:val="DefaultParagraphFont"/>
    <w:rsid w:val="00377E80"/>
  </w:style>
  <w:style w:type="character" w:customStyle="1" w:styleId="highlight">
    <w:name w:val="highlight"/>
    <w:basedOn w:val="DefaultParagraphFont"/>
    <w:rsid w:val="00377E80"/>
  </w:style>
  <w:style w:type="paragraph" w:customStyle="1" w:styleId="EndNoteBibliographyTitle">
    <w:name w:val="EndNote Bibliography Title"/>
    <w:basedOn w:val="Normal"/>
    <w:link w:val="EndNoteBibliographyTitleCar"/>
    <w:rsid w:val="00377E80"/>
    <w:pPr>
      <w:spacing w:after="0"/>
      <w:jc w:val="center"/>
    </w:pPr>
    <w:rPr>
      <w:noProof/>
      <w:lang w:val="en-US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377E8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377E80"/>
    <w:pPr>
      <w:spacing w:line="240" w:lineRule="auto"/>
    </w:pPr>
    <w:rPr>
      <w:noProof/>
      <w:lang w:val="en-US"/>
    </w:rPr>
  </w:style>
  <w:style w:type="character" w:customStyle="1" w:styleId="EndNoteBibliographyCar">
    <w:name w:val="EndNote Bibliography Car"/>
    <w:basedOn w:val="DefaultParagraphFont"/>
    <w:link w:val="EndNoteBibliography"/>
    <w:rsid w:val="00377E80"/>
    <w:rPr>
      <w:rFonts w:ascii="Calibri" w:hAnsi="Calibri" w:cs="Calibri"/>
      <w:noProof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77E80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38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eb.expasy.org/translate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felipe.cava@umu.se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SqFRfUvcvsy8HBsW4BsUtVuCwQ==">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cava</dc:creator>
  <cp:lastModifiedBy>Laura Alvarez</cp:lastModifiedBy>
  <cp:revision>5</cp:revision>
  <cp:lastPrinted>2021-01-12T14:42:00Z</cp:lastPrinted>
  <dcterms:created xsi:type="dcterms:W3CDTF">2021-01-18T10:44:00Z</dcterms:created>
  <dcterms:modified xsi:type="dcterms:W3CDTF">2021-01-18T11:04:00Z</dcterms:modified>
</cp:coreProperties>
</file>