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1E3F8" w14:textId="77777777" w:rsidR="004468DF" w:rsidRDefault="00122C27">
      <w:pPr>
        <w:spacing w:after="127" w:line="259" w:lineRule="auto"/>
        <w:ind w:right="0"/>
        <w:jc w:val="right"/>
      </w:pPr>
      <w:r>
        <w:rPr>
          <w:noProof/>
        </w:rPr>
        <w:drawing>
          <wp:inline distT="0" distB="0" distL="0" distR="0" wp14:anchorId="3B89A2FA" wp14:editId="2A3E2617">
            <wp:extent cx="5946649" cy="5041393"/>
            <wp:effectExtent l="0" t="0" r="0" b="0"/>
            <wp:docPr id="711" name="Picture 7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" name="Picture 7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6649" cy="5041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66F36640" w14:textId="577223C0" w:rsidR="004468DF" w:rsidRDefault="00122C27">
      <w:r w:rsidRPr="00122C27">
        <w:rPr>
          <w:b/>
        </w:rPr>
        <w:t>Figure 1 – Figure Supplement 2:</w:t>
      </w:r>
      <w:r w:rsidRPr="00122C27">
        <w:rPr>
          <w:b/>
        </w:rPr>
        <w:t xml:space="preserve"> </w:t>
      </w:r>
      <w:r w:rsidRPr="00122C27">
        <w:t xml:space="preserve">Exemplar microstructure profiles of selected features, namely skewness, intensity at ~13% depth and ~53% depth. </w:t>
      </w:r>
      <w:r w:rsidRPr="00122C27">
        <w:rPr>
          <w:b/>
        </w:rPr>
        <w:t xml:space="preserve">A) </w:t>
      </w:r>
      <w:r w:rsidRPr="00122C27">
        <w:rPr>
          <w:i/>
        </w:rPr>
        <w:t xml:space="preserve">Top: </w:t>
      </w:r>
      <w:r w:rsidRPr="00122C27">
        <w:t>Standardised feature values of each vertex, sorted by value and coloured by position on the iso-</w:t>
      </w:r>
      <w:proofErr w:type="spellStart"/>
      <w:r w:rsidRPr="00122C27">
        <w:t>toallocortical</w:t>
      </w:r>
      <w:proofErr w:type="spellEnd"/>
      <w:r w:rsidRPr="00122C27">
        <w:t xml:space="preserve"> axis. </w:t>
      </w:r>
      <w:r w:rsidRPr="00122C27">
        <w:rPr>
          <w:i/>
        </w:rPr>
        <w:t>Bott</w:t>
      </w:r>
      <w:r>
        <w:rPr>
          <w:i/>
        </w:rPr>
        <w:t>om</w:t>
      </w:r>
      <w:r w:rsidRPr="00122C27">
        <w:rPr>
          <w:i/>
        </w:rPr>
        <w:t xml:space="preserve">: </w:t>
      </w:r>
      <w:r w:rsidRPr="00122C27">
        <w:t>Average profiles of vertices within 20 bins, stratified by the respective feature value, which illustrate how features capture diff</w:t>
      </w:r>
      <w:r w:rsidRPr="00122C27">
        <w:t xml:space="preserve">erences in the profile shape. Profiles are coloured by standardised feature value. Higher </w:t>
      </w:r>
      <w:proofErr w:type="spellStart"/>
      <w:r w:rsidRPr="00122C27">
        <w:t>Merker</w:t>
      </w:r>
      <w:proofErr w:type="spellEnd"/>
      <w:r w:rsidRPr="00122C27">
        <w:t>-staining intensity values reflect higher cellular density/soma size.</w:t>
      </w:r>
      <w:r>
        <w:t xml:space="preserve"> </w:t>
      </w:r>
      <w:r>
        <w:rPr>
          <w:b/>
        </w:rPr>
        <w:t xml:space="preserve"> </w:t>
      </w:r>
      <w:r w:rsidRPr="00122C27">
        <w:rPr>
          <w:b/>
        </w:rPr>
        <w:t xml:space="preserve">  </w:t>
      </w:r>
      <w:r>
        <w:rPr>
          <w:b/>
        </w:rPr>
        <w:t xml:space="preserve">B) </w:t>
      </w:r>
      <w:r>
        <w:t xml:space="preserve">Feature values of each vertex projected onto the MTL confluence model.  </w:t>
      </w:r>
    </w:p>
    <w:p w14:paraId="22A69831" w14:textId="77777777" w:rsidR="004468DF" w:rsidRDefault="00122C27">
      <w:pPr>
        <w:spacing w:after="156" w:line="259" w:lineRule="auto"/>
        <w:ind w:right="0"/>
        <w:jc w:val="left"/>
      </w:pPr>
      <w:r>
        <w:t xml:space="preserve"> </w:t>
      </w:r>
    </w:p>
    <w:p w14:paraId="6C295BB3" w14:textId="77777777" w:rsidR="004468DF" w:rsidRDefault="00122C27">
      <w:pPr>
        <w:spacing w:after="199" w:line="259" w:lineRule="auto"/>
        <w:ind w:right="0"/>
        <w:jc w:val="left"/>
      </w:pPr>
      <w:r>
        <w:t xml:space="preserve"> </w:t>
      </w:r>
    </w:p>
    <w:p w14:paraId="09AFE24F" w14:textId="77777777" w:rsidR="004468DF" w:rsidRDefault="00122C27">
      <w:pPr>
        <w:spacing w:after="0" w:line="259" w:lineRule="auto"/>
        <w:ind w:right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4468DF">
      <w:pgSz w:w="12240" w:h="15840"/>
      <w:pgMar w:top="1440" w:right="1392" w:bottom="1440" w:left="14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8DF"/>
    <w:rsid w:val="00122C27"/>
    <w:rsid w:val="0044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BD02A"/>
  <w15:docId w15:val="{D69166A5-3714-45E4-A473-A2D5C246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2" w:line="252" w:lineRule="auto"/>
      <w:ind w:right="44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Figure1S2</dc:title>
  <dc:subject/>
  <dc:creator>Boris Bernhardt</dc:creator>
  <cp:keywords/>
  <cp:lastModifiedBy>Sue Taylor</cp:lastModifiedBy>
  <cp:revision>2</cp:revision>
  <dcterms:created xsi:type="dcterms:W3CDTF">2020-11-04T09:06:00Z</dcterms:created>
  <dcterms:modified xsi:type="dcterms:W3CDTF">2020-11-04T09:06:00Z</dcterms:modified>
</cp:coreProperties>
</file>