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AD" w:rsidRPr="003F64AB" w:rsidRDefault="000C12AD" w:rsidP="000C12AD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3F64AB">
        <w:rPr>
          <w:rFonts w:ascii="Times New Roman" w:eastAsia="Calibri" w:hAnsi="Times New Roman" w:cs="Times New Roman"/>
          <w:lang w:val="en-US"/>
        </w:rPr>
        <w:t xml:space="preserve">Supplementary </w:t>
      </w:r>
      <w:r w:rsidR="00E55BD1">
        <w:rPr>
          <w:rFonts w:ascii="Times New Roman" w:eastAsia="Calibri" w:hAnsi="Times New Roman" w:cs="Times New Roman"/>
          <w:lang w:val="en-US"/>
        </w:rPr>
        <w:t>File</w:t>
      </w:r>
      <w:bookmarkStart w:id="0" w:name="_GoBack"/>
      <w:bookmarkEnd w:id="0"/>
      <w:r w:rsidRPr="003F64AB">
        <w:rPr>
          <w:rFonts w:ascii="Times New Roman" w:eastAsia="Calibri" w:hAnsi="Times New Roman" w:cs="Times New Roman"/>
          <w:lang w:val="en-US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>2.</w:t>
      </w:r>
      <w:r w:rsidRPr="003F64AB">
        <w:rPr>
          <w:rFonts w:ascii="Times New Roman" w:eastAsia="Calibri" w:hAnsi="Times New Roman" w:cs="Times New Roman"/>
          <w:lang w:val="en-US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>R</w:t>
      </w:r>
      <w:r w:rsidRPr="003F64AB">
        <w:rPr>
          <w:rFonts w:ascii="Times New Roman" w:eastAsia="Calibri" w:hAnsi="Times New Roman" w:cs="Times New Roman"/>
          <w:lang w:val="en-US"/>
        </w:rPr>
        <w:t xml:space="preserve">esidues examined for specific mutations involving host adaptation, virulence, pathogenicity and dominating residues differing between </w:t>
      </w:r>
      <w:r>
        <w:rPr>
          <w:rFonts w:ascii="Times New Roman" w:eastAsia="Calibri" w:hAnsi="Times New Roman" w:cs="Times New Roman"/>
          <w:lang w:val="en-US"/>
        </w:rPr>
        <w:t>H1av</w:t>
      </w:r>
      <w:r w:rsidRPr="003F64AB">
        <w:rPr>
          <w:rFonts w:ascii="Times New Roman" w:eastAsia="Calibri" w:hAnsi="Times New Roman" w:cs="Times New Roman"/>
          <w:lang w:val="en-US"/>
        </w:rPr>
        <w:t xml:space="preserve"> and H1N1pdm09 origin viruses. </w:t>
      </w:r>
      <w:proofErr w:type="gramStart"/>
      <w:r w:rsidRPr="003F64AB">
        <w:rPr>
          <w:rFonts w:ascii="Times New Roman" w:eastAsia="Calibri" w:hAnsi="Times New Roman" w:cs="Times New Roman"/>
          <w:lang w:val="en-US"/>
        </w:rPr>
        <w:t>Aa</w:t>
      </w:r>
      <w:proofErr w:type="gramEnd"/>
      <w:r w:rsidRPr="003F64AB">
        <w:rPr>
          <w:rFonts w:ascii="Times New Roman" w:eastAsia="Calibri" w:hAnsi="Times New Roman" w:cs="Times New Roman"/>
          <w:lang w:val="en-US"/>
        </w:rPr>
        <w:t xml:space="preserve"> positions are numbered according to the first methionine if nothing else is indicated.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2806"/>
        <w:gridCol w:w="1869"/>
        <w:gridCol w:w="1984"/>
      </w:tblGrid>
      <w:tr w:rsidR="000C12AD" w:rsidRPr="000122C4" w:rsidTr="00155D8D"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Protein and residue/aa change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Function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H1av-origin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H1N1pdm09 origin</w:t>
            </w:r>
          </w:p>
        </w:tc>
      </w:tr>
      <w:tr w:rsidR="000C12AD" w:rsidRPr="000122C4" w:rsidTr="00155D8D"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PB2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C12AD" w:rsidRPr="003F64AB" w:rsidTr="00155D8D">
        <w:tc>
          <w:tcPr>
            <w:tcW w:w="1841" w:type="dxa"/>
            <w:tcBorders>
              <w:top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T271A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Dominant residue differ between avian- and H1N1pdm09 viruses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59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35/36 had T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1/36 had I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85/85 had A</w:t>
            </w:r>
          </w:p>
        </w:tc>
      </w:tr>
      <w:tr w:rsidR="000C12AD" w:rsidRPr="003F64AB" w:rsidTr="00155D8D">
        <w:tc>
          <w:tcPr>
            <w:tcW w:w="1841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E627K</w:t>
            </w:r>
          </w:p>
        </w:tc>
        <w:tc>
          <w:tcPr>
            <w:tcW w:w="2806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Increased viral replication and virulence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84</w:t>
            </w:r>
          </w:p>
        </w:tc>
        <w:tc>
          <w:tcPr>
            <w:tcW w:w="1869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0/78</w:t>
            </w:r>
          </w:p>
        </w:tc>
        <w:tc>
          <w:tcPr>
            <w:tcW w:w="1984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0/48</w:t>
            </w:r>
          </w:p>
        </w:tc>
      </w:tr>
      <w:tr w:rsidR="000C12AD" w:rsidRPr="003F64AB" w:rsidTr="00155D8D">
        <w:tc>
          <w:tcPr>
            <w:tcW w:w="1841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D701N</w:t>
            </w:r>
          </w:p>
        </w:tc>
        <w:tc>
          <w:tcPr>
            <w:tcW w:w="2806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Enhance viral replication and pathogenicity of Eurasian avian like swIAV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85</w:t>
            </w:r>
          </w:p>
        </w:tc>
        <w:tc>
          <w:tcPr>
            <w:tcW w:w="1869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36/78</w:t>
            </w:r>
          </w:p>
        </w:tc>
        <w:tc>
          <w:tcPr>
            <w:tcW w:w="1984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0/48</w:t>
            </w:r>
          </w:p>
        </w:tc>
      </w:tr>
      <w:tr w:rsidR="000C12AD" w:rsidRPr="003F64AB" w:rsidTr="00155D8D">
        <w:tc>
          <w:tcPr>
            <w:tcW w:w="1841" w:type="dxa"/>
            <w:tcBorders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K702R</w:t>
            </w:r>
          </w:p>
        </w:tc>
        <w:tc>
          <w:tcPr>
            <w:tcW w:w="2806" w:type="dxa"/>
            <w:tcBorders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Host-adaption; at this residue avian influenza carries lysine while most mammalian IAV carry an arginine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86</w:t>
            </w:r>
          </w:p>
        </w:tc>
        <w:tc>
          <w:tcPr>
            <w:tcW w:w="1869" w:type="dxa"/>
            <w:tcBorders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0/78</w:t>
            </w:r>
          </w:p>
        </w:tc>
        <w:tc>
          <w:tcPr>
            <w:tcW w:w="1984" w:type="dxa"/>
            <w:tcBorders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0/48</w:t>
            </w:r>
          </w:p>
        </w:tc>
      </w:tr>
      <w:tr w:rsidR="000C12AD" w:rsidRPr="003F64AB" w:rsidTr="00155D8D">
        <w:tc>
          <w:tcPr>
            <w:tcW w:w="1841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PB1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C12AD" w:rsidRPr="003F64AB" w:rsidTr="00155D8D">
        <w:tc>
          <w:tcPr>
            <w:tcW w:w="1841" w:type="dxa"/>
            <w:tcBorders>
              <w:top w:val="single" w:sz="4" w:space="0" w:color="auto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V336I</w:t>
            </w:r>
          </w:p>
        </w:tc>
        <w:tc>
          <w:tcPr>
            <w:tcW w:w="2806" w:type="dxa"/>
            <w:tcBorders>
              <w:top w:val="single" w:sz="4" w:space="0" w:color="auto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Dominant residue differ between avian- and H1N1pdm09 viruses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59</w:t>
            </w:r>
          </w:p>
        </w:tc>
        <w:tc>
          <w:tcPr>
            <w:tcW w:w="1869" w:type="dxa"/>
            <w:tcBorders>
              <w:top w:val="single" w:sz="4" w:space="0" w:color="auto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34/37 had V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3/37 had I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87/87 had I</w:t>
            </w:r>
          </w:p>
        </w:tc>
      </w:tr>
      <w:tr w:rsidR="000C12AD" w:rsidRPr="003F64AB" w:rsidTr="00155D8D">
        <w:tc>
          <w:tcPr>
            <w:tcW w:w="1841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PA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C12AD" w:rsidRPr="003F64AB" w:rsidTr="00155D8D">
        <w:tc>
          <w:tcPr>
            <w:tcW w:w="1841" w:type="dxa"/>
            <w:tcBorders>
              <w:top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K356R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As above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59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38/38 had K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88/91 had R</w:t>
            </w:r>
          </w:p>
        </w:tc>
      </w:tr>
      <w:tr w:rsidR="000C12AD" w:rsidRPr="003F64AB" w:rsidTr="00155D8D">
        <w:tc>
          <w:tcPr>
            <w:tcW w:w="1841" w:type="dxa"/>
            <w:tcBorders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S409N</w:t>
            </w:r>
          </w:p>
        </w:tc>
        <w:tc>
          <w:tcPr>
            <w:tcW w:w="2806" w:type="dxa"/>
            <w:tcBorders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As above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59</w:t>
            </w:r>
          </w:p>
        </w:tc>
        <w:tc>
          <w:tcPr>
            <w:tcW w:w="1869" w:type="dxa"/>
            <w:tcBorders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5/38 had S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33/38 had N</w:t>
            </w:r>
          </w:p>
        </w:tc>
        <w:tc>
          <w:tcPr>
            <w:tcW w:w="1984" w:type="dxa"/>
            <w:tcBorders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90/91 had N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1/91 had S</w:t>
            </w:r>
          </w:p>
        </w:tc>
      </w:tr>
      <w:tr w:rsidR="000C12AD" w:rsidRPr="003F64AB" w:rsidTr="00155D8D">
        <w:tc>
          <w:tcPr>
            <w:tcW w:w="1841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HA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C12AD" w:rsidRPr="003F64AB" w:rsidTr="00155D8D">
        <w:tc>
          <w:tcPr>
            <w:tcW w:w="1841" w:type="dxa"/>
            <w:tcBorders>
              <w:top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T200A (H3 numbering)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Increased receptor binding affinity to the α2.6-linked sialic acid for H1N1pdm09 viruses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79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1/78 had A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48/48 had A</w:t>
            </w:r>
          </w:p>
        </w:tc>
      </w:tr>
      <w:tr w:rsidR="000C12AD" w:rsidRPr="00E55BD1" w:rsidTr="00155D8D">
        <w:tc>
          <w:tcPr>
            <w:tcW w:w="1841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E190D (H3 numbering)</w:t>
            </w:r>
          </w:p>
        </w:tc>
        <w:tc>
          <w:tcPr>
            <w:tcW w:w="2806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change in receptor specificity of avian IAV from α2.3-linked sialic acid to α2.6-linked sialic acid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78</w:t>
            </w:r>
          </w:p>
        </w:tc>
        <w:tc>
          <w:tcPr>
            <w:tcW w:w="1869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73/78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5/78 had V or S</w:t>
            </w:r>
          </w:p>
        </w:tc>
        <w:tc>
          <w:tcPr>
            <w:tcW w:w="1984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40/48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8/48 had S or G (all Hu-L)</w:t>
            </w:r>
          </w:p>
        </w:tc>
      </w:tr>
      <w:tr w:rsidR="000C12AD" w:rsidRPr="00E55BD1" w:rsidTr="00155D8D">
        <w:tc>
          <w:tcPr>
            <w:tcW w:w="1841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G225D (H3 numbering)</w:t>
            </w:r>
          </w:p>
        </w:tc>
        <w:tc>
          <w:tcPr>
            <w:tcW w:w="2806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As above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78</w:t>
            </w:r>
          </w:p>
        </w:tc>
        <w:tc>
          <w:tcPr>
            <w:tcW w:w="1869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6/78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63/78 had E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9/78 had T/K/N</w:t>
            </w:r>
          </w:p>
        </w:tc>
        <w:tc>
          <w:tcPr>
            <w:tcW w:w="1984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18/48 (14/18 was Hu-L)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23/48 had N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1/48 had G</w:t>
            </w:r>
          </w:p>
        </w:tc>
      </w:tr>
      <w:tr w:rsidR="000C12AD" w:rsidRPr="00E55BD1" w:rsidTr="00155D8D">
        <w:tc>
          <w:tcPr>
            <w:tcW w:w="1841" w:type="dxa"/>
            <w:tcBorders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K159, G172E, I183V, S200P, S202N, D204S, V338I and V66I</w:t>
            </w:r>
          </w:p>
        </w:tc>
        <w:tc>
          <w:tcPr>
            <w:tcW w:w="2806" w:type="dxa"/>
            <w:tcBorders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Related to the H1pdmN2sw </w:t>
            </w:r>
            <w:r>
              <w:rPr>
                <w:rFonts w:ascii="Times New Roman" w:eastAsia="Calibri" w:hAnsi="Times New Roman" w:cs="Times New Roman"/>
                <w:lang w:val="en-US"/>
              </w:rPr>
              <w:t>lineage</w:t>
            </w:r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 in Germany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27</w:t>
            </w:r>
          </w:p>
        </w:tc>
        <w:tc>
          <w:tcPr>
            <w:tcW w:w="1869" w:type="dxa"/>
            <w:tcBorders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Not specific for H1pdmN2sw. However,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I173V and V466I were present in 3/12 and 1/12 of the Danish H1pdmN2sw viruses</w:t>
            </w:r>
          </w:p>
        </w:tc>
      </w:tr>
      <w:tr w:rsidR="000C12AD" w:rsidRPr="003F64AB" w:rsidTr="00155D8D">
        <w:tc>
          <w:tcPr>
            <w:tcW w:w="1841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NP</w:t>
            </w:r>
          </w:p>
        </w:tc>
        <w:tc>
          <w:tcPr>
            <w:tcW w:w="2806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C12AD" w:rsidRPr="003F64AB" w:rsidTr="00155D8D">
        <w:tc>
          <w:tcPr>
            <w:tcW w:w="1841" w:type="dxa"/>
            <w:tcBorders>
              <w:top w:val="single" w:sz="4" w:space="0" w:color="auto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K48Q</w:t>
            </w:r>
          </w:p>
        </w:tc>
        <w:tc>
          <w:tcPr>
            <w:tcW w:w="2806" w:type="dxa"/>
            <w:tcBorders>
              <w:top w:val="single" w:sz="4" w:space="0" w:color="auto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Confer </w:t>
            </w:r>
            <w:proofErr w:type="spellStart"/>
            <w:r w:rsidRPr="003F64AB">
              <w:rPr>
                <w:rFonts w:ascii="Times New Roman" w:eastAsia="Calibri" w:hAnsi="Times New Roman" w:cs="Times New Roman"/>
                <w:lang w:val="en-US"/>
              </w:rPr>
              <w:t>MxA</w:t>
            </w:r>
            <w:proofErr w:type="spellEnd"/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 resistance in combination with R98K and R99K for the NP protein of avian-like swine origin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60</w:t>
            </w:r>
          </w:p>
        </w:tc>
        <w:tc>
          <w:tcPr>
            <w:tcW w:w="1869" w:type="dxa"/>
            <w:tcBorders>
              <w:top w:val="single" w:sz="4" w:space="0" w:color="auto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35/35 had Q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92/92 had K</w:t>
            </w:r>
          </w:p>
        </w:tc>
      </w:tr>
      <w:tr w:rsidR="000C12AD" w:rsidRPr="00E55BD1" w:rsidTr="00155D8D">
        <w:tc>
          <w:tcPr>
            <w:tcW w:w="1841" w:type="dxa"/>
            <w:tcBorders>
              <w:top w:val="single" w:sz="4" w:space="0" w:color="auto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lastRenderedPageBreak/>
              <w:t>E53D</w:t>
            </w:r>
          </w:p>
        </w:tc>
        <w:tc>
          <w:tcPr>
            <w:tcW w:w="2806" w:type="dxa"/>
            <w:tcBorders>
              <w:top w:val="single" w:sz="4" w:space="0" w:color="auto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Confer </w:t>
            </w:r>
            <w:proofErr w:type="spellStart"/>
            <w:r w:rsidRPr="003F64AB">
              <w:rPr>
                <w:rFonts w:ascii="Times New Roman" w:eastAsia="Calibri" w:hAnsi="Times New Roman" w:cs="Times New Roman"/>
                <w:lang w:val="en-US"/>
              </w:rPr>
              <w:t>MxA</w:t>
            </w:r>
            <w:proofErr w:type="spellEnd"/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 resistance for the NP protein of H1N1pdm09 origin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61</w:t>
            </w:r>
          </w:p>
        </w:tc>
        <w:tc>
          <w:tcPr>
            <w:tcW w:w="1869" w:type="dxa"/>
            <w:tcBorders>
              <w:top w:val="single" w:sz="4" w:space="0" w:color="auto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35/35 had E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10/92 had D (8/10 were H1pdmNx viruses belonging to the Hu-L cluster)</w:t>
            </w:r>
          </w:p>
        </w:tc>
      </w:tr>
      <w:tr w:rsidR="000C12AD" w:rsidRPr="003F64AB" w:rsidTr="00155D8D">
        <w:tc>
          <w:tcPr>
            <w:tcW w:w="1841" w:type="dxa"/>
            <w:tcBorders>
              <w:top w:val="nil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R98K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Confer </w:t>
            </w:r>
            <w:proofErr w:type="spellStart"/>
            <w:r w:rsidRPr="003F64AB">
              <w:rPr>
                <w:rFonts w:ascii="Times New Roman" w:eastAsia="Calibri" w:hAnsi="Times New Roman" w:cs="Times New Roman"/>
                <w:lang w:val="en-US"/>
              </w:rPr>
              <w:t>MxA</w:t>
            </w:r>
            <w:proofErr w:type="spellEnd"/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 resistance</w:t>
            </w:r>
            <w:r w:rsidRPr="003F64AB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3F64AB">
              <w:rPr>
                <w:rFonts w:ascii="Times New Roman" w:eastAsia="Calibri" w:hAnsi="Times New Roman" w:cs="Times New Roman"/>
                <w:lang w:val="en-US"/>
              </w:rPr>
              <w:t>in combination with K48Q and R99K for the NP protein of avian-like swine origin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60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33/35 had K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92/92 had R</w:t>
            </w:r>
          </w:p>
        </w:tc>
      </w:tr>
      <w:tr w:rsidR="000C12AD" w:rsidRPr="003F64AB" w:rsidTr="00155D8D">
        <w:tc>
          <w:tcPr>
            <w:tcW w:w="1841" w:type="dxa"/>
            <w:tcBorders>
              <w:top w:val="nil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R99K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Confer </w:t>
            </w:r>
            <w:proofErr w:type="spellStart"/>
            <w:r w:rsidRPr="003F64AB">
              <w:rPr>
                <w:rFonts w:ascii="Times New Roman" w:eastAsia="Calibri" w:hAnsi="Times New Roman" w:cs="Times New Roman"/>
                <w:lang w:val="en-US"/>
              </w:rPr>
              <w:t>MxA</w:t>
            </w:r>
            <w:proofErr w:type="spellEnd"/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 resistance</w:t>
            </w:r>
            <w:r w:rsidRPr="003F64AB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3F64AB">
              <w:rPr>
                <w:rFonts w:ascii="Times New Roman" w:eastAsia="Calibri" w:hAnsi="Times New Roman" w:cs="Times New Roman"/>
                <w:lang w:val="en-US"/>
              </w:rPr>
              <w:t>in combination with K48Q and R98K for the NP protein of avian-like swine origin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60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31/35 had K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90/92 had R</w:t>
            </w:r>
          </w:p>
        </w:tc>
      </w:tr>
      <w:tr w:rsidR="000C12AD" w:rsidRPr="003F64AB" w:rsidTr="00155D8D">
        <w:tc>
          <w:tcPr>
            <w:tcW w:w="1841" w:type="dxa"/>
            <w:tcBorders>
              <w:top w:val="nil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R100I/V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Confer </w:t>
            </w:r>
            <w:proofErr w:type="spellStart"/>
            <w:r w:rsidRPr="003F64AB">
              <w:rPr>
                <w:rFonts w:ascii="Times New Roman" w:eastAsia="Calibri" w:hAnsi="Times New Roman" w:cs="Times New Roman"/>
                <w:lang w:val="en-US"/>
              </w:rPr>
              <w:t>MxA</w:t>
            </w:r>
            <w:proofErr w:type="spellEnd"/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 resistance for the NP protein of H1N1pdm09 origin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61</w:t>
            </w:r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 and dominant residue differ between avian- and H1N1pdm09 viruses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59</w:t>
            </w:r>
          </w:p>
        </w:tc>
        <w:tc>
          <w:tcPr>
            <w:tcW w:w="1869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35/35 had R</w:t>
            </w:r>
          </w:p>
        </w:tc>
        <w:tc>
          <w:tcPr>
            <w:tcW w:w="1984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84/92 had I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3/92 had M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3/92 had V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2/92 T/L</w:t>
            </w:r>
          </w:p>
        </w:tc>
      </w:tr>
      <w:tr w:rsidR="000C12AD" w:rsidRPr="003F64AB" w:rsidTr="00155D8D">
        <w:tc>
          <w:tcPr>
            <w:tcW w:w="1841" w:type="dxa"/>
            <w:tcBorders>
              <w:top w:val="nil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F313V</w:t>
            </w: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Confer </w:t>
            </w:r>
            <w:proofErr w:type="spellStart"/>
            <w:r w:rsidRPr="003F64AB">
              <w:rPr>
                <w:rFonts w:ascii="Times New Roman" w:eastAsia="Calibri" w:hAnsi="Times New Roman" w:cs="Times New Roman"/>
                <w:lang w:val="en-US"/>
              </w:rPr>
              <w:t>MxA</w:t>
            </w:r>
            <w:proofErr w:type="spellEnd"/>
            <w:r w:rsidRPr="003F64AB">
              <w:rPr>
                <w:rFonts w:ascii="Times New Roman" w:eastAsia="Calibri" w:hAnsi="Times New Roman" w:cs="Times New Roman"/>
                <w:lang w:val="en-US"/>
              </w:rPr>
              <w:t xml:space="preserve"> resistance for the NP protein of H1N1pdm09 origin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61</w:t>
            </w:r>
          </w:p>
        </w:tc>
        <w:tc>
          <w:tcPr>
            <w:tcW w:w="1869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35/35 had F</w:t>
            </w:r>
          </w:p>
        </w:tc>
        <w:tc>
          <w:tcPr>
            <w:tcW w:w="1984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91/92 had V</w:t>
            </w:r>
          </w:p>
        </w:tc>
      </w:tr>
      <w:tr w:rsidR="000C12AD" w:rsidRPr="003F64AB" w:rsidTr="00155D8D">
        <w:tc>
          <w:tcPr>
            <w:tcW w:w="1841" w:type="dxa"/>
            <w:tcBorders>
              <w:top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V33I</w:t>
            </w:r>
          </w:p>
        </w:tc>
        <w:tc>
          <w:tcPr>
            <w:tcW w:w="2806" w:type="dxa"/>
            <w:tcBorders>
              <w:top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Dominant residue differ between avian- and H1N1pdm09 viruses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59</w:t>
            </w:r>
          </w:p>
        </w:tc>
        <w:tc>
          <w:tcPr>
            <w:tcW w:w="1869" w:type="dxa"/>
            <w:tcBorders>
              <w:top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8/35 had V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27/35 had I</w:t>
            </w:r>
          </w:p>
        </w:tc>
        <w:tc>
          <w:tcPr>
            <w:tcW w:w="1984" w:type="dxa"/>
            <w:tcBorders>
              <w:top w:val="nil"/>
            </w:tcBorders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91/92 had I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1/92 had V</w:t>
            </w:r>
          </w:p>
        </w:tc>
      </w:tr>
      <w:tr w:rsidR="000C12AD" w:rsidRPr="003F64AB" w:rsidTr="00155D8D">
        <w:tc>
          <w:tcPr>
            <w:tcW w:w="1841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R100V</w:t>
            </w:r>
          </w:p>
        </w:tc>
        <w:tc>
          <w:tcPr>
            <w:tcW w:w="2806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As above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59</w:t>
            </w:r>
          </w:p>
        </w:tc>
        <w:tc>
          <w:tcPr>
            <w:tcW w:w="1869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C12AD" w:rsidRPr="003F64AB" w:rsidTr="00155D8D">
        <w:tc>
          <w:tcPr>
            <w:tcW w:w="1841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R305K</w:t>
            </w:r>
          </w:p>
        </w:tc>
        <w:tc>
          <w:tcPr>
            <w:tcW w:w="2806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As above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59</w:t>
            </w:r>
          </w:p>
        </w:tc>
        <w:tc>
          <w:tcPr>
            <w:tcW w:w="1869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35/35 had R</w:t>
            </w:r>
          </w:p>
        </w:tc>
        <w:tc>
          <w:tcPr>
            <w:tcW w:w="1984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91/92 had K</w:t>
            </w:r>
          </w:p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1/92 had R</w:t>
            </w:r>
          </w:p>
        </w:tc>
      </w:tr>
      <w:tr w:rsidR="000C12AD" w:rsidRPr="003F64AB" w:rsidTr="00155D8D">
        <w:tc>
          <w:tcPr>
            <w:tcW w:w="1841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Q357K</w:t>
            </w:r>
          </w:p>
        </w:tc>
        <w:tc>
          <w:tcPr>
            <w:tcW w:w="2806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As above</w:t>
            </w:r>
            <w:r w:rsidRPr="003F64AB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59</w:t>
            </w:r>
          </w:p>
        </w:tc>
        <w:tc>
          <w:tcPr>
            <w:tcW w:w="1869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35/35 had Q</w:t>
            </w:r>
          </w:p>
        </w:tc>
        <w:tc>
          <w:tcPr>
            <w:tcW w:w="1984" w:type="dxa"/>
          </w:tcPr>
          <w:p w:rsidR="000C12AD" w:rsidRPr="003F64AB" w:rsidRDefault="000C12AD" w:rsidP="00155D8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3F64AB">
              <w:rPr>
                <w:rFonts w:ascii="Times New Roman" w:eastAsia="Calibri" w:hAnsi="Times New Roman" w:cs="Times New Roman"/>
                <w:lang w:val="en-US"/>
              </w:rPr>
              <w:t>92/92 had K</w:t>
            </w:r>
          </w:p>
        </w:tc>
      </w:tr>
    </w:tbl>
    <w:p w:rsidR="000C12AD" w:rsidRPr="003F64AB" w:rsidRDefault="000C12AD" w:rsidP="000C12AD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:rsidR="00905F6B" w:rsidRDefault="00905F6B"/>
    <w:sectPr w:rsidR="0090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AD"/>
    <w:rsid w:val="000C12AD"/>
    <w:rsid w:val="00212397"/>
    <w:rsid w:val="00560145"/>
    <w:rsid w:val="006F2892"/>
    <w:rsid w:val="00717D6D"/>
    <w:rsid w:val="008C0092"/>
    <w:rsid w:val="00905F6B"/>
    <w:rsid w:val="00A73E51"/>
    <w:rsid w:val="00BC2598"/>
    <w:rsid w:val="00BF48FE"/>
    <w:rsid w:val="00C40A32"/>
    <w:rsid w:val="00C53D42"/>
    <w:rsid w:val="00E101CE"/>
    <w:rsid w:val="00E55BD1"/>
    <w:rsid w:val="00E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9D6D"/>
  <w15:chartTrackingRefBased/>
  <w15:docId w15:val="{50899684-4404-4E45-B5CB-7596C25A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2246</Characters>
  <Application>Microsoft Office Word</Application>
  <DocSecurity>0</DocSecurity>
  <Lines>280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Ryt-Hansen</dc:creator>
  <cp:keywords/>
  <dc:description/>
  <cp:lastModifiedBy>Pia Ryt-Hansen</cp:lastModifiedBy>
  <cp:revision>2</cp:revision>
  <dcterms:created xsi:type="dcterms:W3CDTF">2021-07-19T05:25:00Z</dcterms:created>
  <dcterms:modified xsi:type="dcterms:W3CDTF">2021-07-19T08:47:00Z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