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1131D">
        <w:fldChar w:fldCharType="begin"/>
      </w:r>
      <w:r w:rsidR="0041131D">
        <w:instrText xml:space="preserve"> HYPERLINK "https://biosharing.org/" \t "_blank" </w:instrText>
      </w:r>
      <w:r w:rsidR="0041131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1131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6D22997" w14:textId="1EAEF786" w:rsidR="00676685" w:rsidRDefault="002D4DDC" w:rsidP="00596DCC">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lastRenderedPageBreak/>
        <w:t xml:space="preserve">In this study, we tried to </w:t>
      </w:r>
      <w:r w:rsidR="00617AA0">
        <w:rPr>
          <w:rFonts w:asciiTheme="minorHAnsi" w:hAnsiTheme="minorHAnsi"/>
          <w:sz w:val="22"/>
          <w:szCs w:val="22"/>
        </w:rPr>
        <w:t>investigate</w:t>
      </w:r>
      <w:r>
        <w:rPr>
          <w:rFonts w:asciiTheme="minorHAnsi" w:hAnsiTheme="minorHAnsi"/>
          <w:sz w:val="22"/>
          <w:szCs w:val="22"/>
        </w:rPr>
        <w:t xml:space="preserve"> whether the patients with Parkinson’s disease can self-suppress beta oscillations in STN through neurofeedback training</w:t>
      </w:r>
      <w:r w:rsidR="00617AA0">
        <w:rPr>
          <w:rFonts w:asciiTheme="minorHAnsi" w:hAnsiTheme="minorHAnsi"/>
          <w:sz w:val="22"/>
          <w:szCs w:val="22"/>
        </w:rPr>
        <w:t>, and whether the suppression of STN beta has any impact on the forthcoming motor task</w:t>
      </w:r>
      <w:r>
        <w:rPr>
          <w:rFonts w:asciiTheme="minorHAnsi" w:hAnsiTheme="minorHAnsi"/>
          <w:sz w:val="22"/>
          <w:szCs w:val="22"/>
        </w:rPr>
        <w:t>.</w:t>
      </w:r>
      <w:r w:rsidR="00CC4BC6">
        <w:rPr>
          <w:rFonts w:asciiTheme="minorHAnsi" w:hAnsiTheme="minorHAnsi"/>
          <w:sz w:val="22"/>
          <w:szCs w:val="22"/>
        </w:rPr>
        <w:t xml:space="preserve"> We also used th</w:t>
      </w:r>
      <w:r w:rsidR="008D12C0">
        <w:rPr>
          <w:rFonts w:asciiTheme="minorHAnsi" w:hAnsiTheme="minorHAnsi"/>
          <w:sz w:val="22"/>
          <w:szCs w:val="22"/>
        </w:rPr>
        <w:t>e</w:t>
      </w:r>
      <w:r w:rsidR="00CC4BC6">
        <w:rPr>
          <w:rFonts w:asciiTheme="minorHAnsi" w:hAnsiTheme="minorHAnsi"/>
          <w:sz w:val="22"/>
          <w:szCs w:val="22"/>
        </w:rPr>
        <w:t xml:space="preserve"> </w:t>
      </w:r>
      <w:r w:rsidR="00676685">
        <w:rPr>
          <w:rFonts w:asciiTheme="minorHAnsi" w:hAnsiTheme="minorHAnsi"/>
          <w:sz w:val="22"/>
          <w:szCs w:val="22"/>
        </w:rPr>
        <w:t>generalised multi-level modelling</w:t>
      </w:r>
      <w:r w:rsidR="00CC4BC6">
        <w:rPr>
          <w:rFonts w:asciiTheme="minorHAnsi" w:hAnsiTheme="minorHAnsi"/>
          <w:sz w:val="22"/>
          <w:szCs w:val="22"/>
        </w:rPr>
        <w:t xml:space="preserve"> to investigate relationship between oscillatory activities in different frequency band</w:t>
      </w:r>
      <w:r w:rsidR="00676685">
        <w:rPr>
          <w:rFonts w:asciiTheme="minorHAnsi" w:hAnsiTheme="minorHAnsi"/>
          <w:sz w:val="22"/>
          <w:szCs w:val="22"/>
        </w:rPr>
        <w:t xml:space="preserve">s in the STN before a ‘Go-Cue’ and the reaction time. </w:t>
      </w:r>
    </w:p>
    <w:p w14:paraId="719F7C15" w14:textId="77777777" w:rsidR="00676685" w:rsidRDefault="00676685" w:rsidP="00596DCC">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3BA21779" w14:textId="7961AD73" w:rsidR="00676685" w:rsidRDefault="00295A52" w:rsidP="00596DCC">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Only two existing studies have been focused on </w:t>
      </w:r>
      <w:r w:rsidR="00DB4D06">
        <w:rPr>
          <w:rFonts w:asciiTheme="minorHAnsi" w:hAnsiTheme="minorHAnsi"/>
          <w:sz w:val="22"/>
          <w:szCs w:val="22"/>
        </w:rPr>
        <w:t xml:space="preserve">STN beta-targeted neurofeedback training </w:t>
      </w:r>
      <w:r>
        <w:rPr>
          <w:rFonts w:asciiTheme="minorHAnsi" w:hAnsiTheme="minorHAnsi"/>
          <w:sz w:val="22"/>
          <w:szCs w:val="22"/>
        </w:rPr>
        <w:t>and both had relatively small sample-size</w:t>
      </w:r>
      <w:r w:rsidR="00661305">
        <w:rPr>
          <w:rFonts w:asciiTheme="minorHAnsi" w:hAnsiTheme="minorHAnsi"/>
          <w:sz w:val="22"/>
          <w:szCs w:val="22"/>
        </w:rPr>
        <w:t>. In</w:t>
      </w:r>
      <w:r>
        <w:rPr>
          <w:rFonts w:asciiTheme="minorHAnsi" w:hAnsiTheme="minorHAnsi"/>
          <w:sz w:val="22"/>
          <w:szCs w:val="22"/>
        </w:rPr>
        <w:t xml:space="preserve"> </w:t>
      </w:r>
      <w:proofErr w:type="spellStart"/>
      <w:r w:rsidRPr="00DB4D06">
        <w:rPr>
          <w:rFonts w:asciiTheme="minorHAnsi" w:hAnsiTheme="minorHAnsi"/>
          <w:sz w:val="22"/>
          <w:szCs w:val="22"/>
        </w:rPr>
        <w:t>Fukuma</w:t>
      </w:r>
      <w:proofErr w:type="spellEnd"/>
      <w:r w:rsidRPr="00DB4D06">
        <w:rPr>
          <w:rFonts w:asciiTheme="minorHAnsi" w:hAnsiTheme="minorHAnsi"/>
          <w:sz w:val="22"/>
          <w:szCs w:val="22"/>
        </w:rPr>
        <w:t xml:space="preserve"> et al. 2018</w:t>
      </w:r>
      <w:r w:rsidR="00661305">
        <w:rPr>
          <w:rFonts w:asciiTheme="minorHAnsi" w:hAnsiTheme="minorHAnsi"/>
          <w:sz w:val="22"/>
          <w:szCs w:val="22"/>
        </w:rPr>
        <w:t>, 4 patients were trained to down-regulate STN beta, and all of them showed significant reduction of STN beta during the trainin</w:t>
      </w:r>
      <w:r w:rsidR="00CC4BC6">
        <w:rPr>
          <w:rFonts w:asciiTheme="minorHAnsi" w:hAnsiTheme="minorHAnsi"/>
          <w:sz w:val="22"/>
          <w:szCs w:val="22"/>
        </w:rPr>
        <w:t xml:space="preserve">g. </w:t>
      </w:r>
      <w:r w:rsidR="0022023D">
        <w:rPr>
          <w:rFonts w:asciiTheme="minorHAnsi" w:hAnsiTheme="minorHAnsi"/>
          <w:sz w:val="22"/>
          <w:szCs w:val="22"/>
        </w:rPr>
        <w:t>F</w:t>
      </w:r>
      <w:r w:rsidR="0022023D" w:rsidRPr="00F45F73">
        <w:rPr>
          <w:rFonts w:asciiTheme="minorHAnsi" w:hAnsiTheme="minorHAnsi"/>
          <w:sz w:val="22"/>
          <w:szCs w:val="22"/>
        </w:rPr>
        <w:t>ischer et al. (2017) found in average 10% of beta power reduction which was statistically significant (p&lt;0.01) during imaginary movements with 10 participants.</w:t>
      </w:r>
      <w:r w:rsidR="0022023D">
        <w:rPr>
          <w:rFonts w:asciiTheme="minorHAnsi" w:hAnsiTheme="minorHAnsi"/>
          <w:sz w:val="22"/>
          <w:szCs w:val="22"/>
        </w:rPr>
        <w:t xml:space="preserve"> </w:t>
      </w:r>
      <w:proofErr w:type="gramStart"/>
      <w:r w:rsidR="00596DCC">
        <w:rPr>
          <w:rFonts w:asciiTheme="minorHAnsi" w:hAnsiTheme="minorHAnsi"/>
          <w:sz w:val="22"/>
          <w:szCs w:val="22"/>
        </w:rPr>
        <w:t>Considering the fact that</w:t>
      </w:r>
      <w:proofErr w:type="gramEnd"/>
      <w:r w:rsidR="00596DCC">
        <w:rPr>
          <w:rFonts w:asciiTheme="minorHAnsi" w:hAnsiTheme="minorHAnsi"/>
          <w:sz w:val="22"/>
          <w:szCs w:val="22"/>
        </w:rPr>
        <w:t xml:space="preserve"> </w:t>
      </w:r>
      <w:r w:rsidR="00596DCC" w:rsidRPr="00596DCC">
        <w:rPr>
          <w:rFonts w:asciiTheme="minorHAnsi" w:hAnsiTheme="minorHAnsi"/>
          <w:sz w:val="22"/>
          <w:szCs w:val="22"/>
        </w:rPr>
        <w:t>post-operative recordings from deep brain stimulation electrodes are still rare research opportunities, we recruited 12 patients (21 STNs in total</w:t>
      </w:r>
      <w:r w:rsidR="0015022D">
        <w:rPr>
          <w:rFonts w:asciiTheme="minorHAnsi" w:hAnsiTheme="minorHAnsi"/>
          <w:sz w:val="22"/>
          <w:szCs w:val="22"/>
        </w:rPr>
        <w:t xml:space="preserve">, </w:t>
      </w:r>
      <w:r w:rsidR="0015022D" w:rsidRPr="00DD187D">
        <w:rPr>
          <w:rFonts w:asciiTheme="minorHAnsi" w:hAnsiTheme="minorHAnsi"/>
          <w:b/>
          <w:bCs/>
          <w:sz w:val="22"/>
          <w:szCs w:val="22"/>
        </w:rPr>
        <w:t>Table I</w:t>
      </w:r>
      <w:r w:rsidR="00596DCC" w:rsidRPr="00596DCC">
        <w:rPr>
          <w:rFonts w:asciiTheme="minorHAnsi" w:hAnsiTheme="minorHAnsi"/>
          <w:sz w:val="22"/>
          <w:szCs w:val="22"/>
        </w:rPr>
        <w:t>)</w:t>
      </w:r>
      <w:r w:rsidR="0015022D">
        <w:rPr>
          <w:rFonts w:asciiTheme="minorHAnsi" w:hAnsiTheme="minorHAnsi"/>
          <w:sz w:val="22"/>
          <w:szCs w:val="22"/>
        </w:rPr>
        <w:t xml:space="preserve"> </w:t>
      </w:r>
    </w:p>
    <w:p w14:paraId="542827D0" w14:textId="77777777" w:rsidR="00676685" w:rsidRDefault="00676685" w:rsidP="00596DCC">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20F7D940" w14:textId="36FC2EED" w:rsidR="0033632F" w:rsidRDefault="00676685" w:rsidP="00B11033">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Another question is how many trials we would need to investigate trial-to-trial relationship between oscillatory STN activities and</w:t>
      </w:r>
      <w:r w:rsidR="00010291">
        <w:rPr>
          <w:rFonts w:asciiTheme="minorHAnsi" w:hAnsiTheme="minorHAnsi"/>
          <w:sz w:val="22"/>
          <w:szCs w:val="22"/>
        </w:rPr>
        <w:t xml:space="preserve"> motor performance</w:t>
      </w:r>
      <w:r w:rsidR="00FD65B4">
        <w:rPr>
          <w:rFonts w:asciiTheme="minorHAnsi" w:hAnsiTheme="minorHAnsi"/>
          <w:sz w:val="22"/>
          <w:szCs w:val="22"/>
        </w:rPr>
        <w:t xml:space="preserve"> in each patient</w:t>
      </w:r>
      <w:r w:rsidR="00010291">
        <w:rPr>
          <w:rFonts w:asciiTheme="minorHAnsi" w:hAnsiTheme="minorHAnsi"/>
          <w:sz w:val="22"/>
          <w:szCs w:val="22"/>
        </w:rPr>
        <w:t xml:space="preserve">. MLM has been used in </w:t>
      </w:r>
      <w:r w:rsidR="000F2C81">
        <w:rPr>
          <w:rFonts w:asciiTheme="minorHAnsi" w:hAnsiTheme="minorHAnsi"/>
          <w:sz w:val="22"/>
          <w:szCs w:val="22"/>
        </w:rPr>
        <w:t xml:space="preserve">several </w:t>
      </w:r>
      <w:r w:rsidR="00010291">
        <w:rPr>
          <w:rFonts w:asciiTheme="minorHAnsi" w:hAnsiTheme="minorHAnsi"/>
          <w:sz w:val="22"/>
          <w:szCs w:val="22"/>
        </w:rPr>
        <w:t>previous studies</w:t>
      </w:r>
      <w:r w:rsidR="00222B2E">
        <w:rPr>
          <w:rFonts w:asciiTheme="minorHAnsi" w:hAnsiTheme="minorHAnsi"/>
          <w:sz w:val="22"/>
          <w:szCs w:val="22"/>
        </w:rPr>
        <w:t xml:space="preserve">. </w:t>
      </w:r>
      <w:r w:rsidR="00F352CB">
        <w:rPr>
          <w:rFonts w:asciiTheme="minorHAnsi" w:hAnsiTheme="minorHAnsi"/>
          <w:sz w:val="22"/>
          <w:szCs w:val="22"/>
        </w:rPr>
        <w:t xml:space="preserve">With the cluster number of 10, and the 40 observations per condition per cluster, and a middle effect size, the statistical power of the MLM is above 0.8 (Fig. 5 in </w:t>
      </w:r>
      <w:proofErr w:type="spellStart"/>
      <w:r w:rsidR="00F352CB" w:rsidRPr="0017110E">
        <w:rPr>
          <w:rFonts w:asciiTheme="minorHAnsi" w:hAnsiTheme="minorHAnsi"/>
          <w:sz w:val="22"/>
          <w:szCs w:val="22"/>
        </w:rPr>
        <w:t>Aarts</w:t>
      </w:r>
      <w:proofErr w:type="spellEnd"/>
      <w:r w:rsidR="00F352CB">
        <w:rPr>
          <w:rFonts w:asciiTheme="minorHAnsi" w:hAnsiTheme="minorHAnsi"/>
          <w:sz w:val="22"/>
          <w:szCs w:val="22"/>
        </w:rPr>
        <w:t xml:space="preserve"> et al, 2015; </w:t>
      </w:r>
      <w:proofErr w:type="spellStart"/>
      <w:r w:rsidR="00F352CB" w:rsidRPr="00A05DEC">
        <w:rPr>
          <w:rFonts w:asciiTheme="minorHAnsi" w:hAnsiTheme="minorHAnsi"/>
          <w:sz w:val="22"/>
          <w:szCs w:val="22"/>
        </w:rPr>
        <w:t>Danhier</w:t>
      </w:r>
      <w:proofErr w:type="spellEnd"/>
      <w:r w:rsidR="00F352CB">
        <w:rPr>
          <w:rFonts w:asciiTheme="minorHAnsi" w:hAnsiTheme="minorHAnsi"/>
          <w:sz w:val="22"/>
          <w:szCs w:val="22"/>
        </w:rPr>
        <w:t xml:space="preserve"> et al., 2013).</w:t>
      </w:r>
      <w:r w:rsidR="00B11033" w:rsidRPr="00B11033">
        <w:t xml:space="preserve"> </w:t>
      </w:r>
      <w:r w:rsidR="00B11033">
        <w:t>Studies with Monte Carlo simulation showed that in</w:t>
      </w:r>
      <w:r w:rsidR="00B11033" w:rsidRPr="00B11033">
        <w:rPr>
          <w:rFonts w:asciiTheme="minorHAnsi" w:hAnsiTheme="minorHAnsi"/>
          <w:sz w:val="22"/>
          <w:szCs w:val="22"/>
        </w:rPr>
        <w:t xml:space="preserve"> con</w:t>
      </w:r>
      <w:r w:rsidR="00B11033">
        <w:rPr>
          <w:rFonts w:asciiTheme="minorHAnsi" w:hAnsiTheme="minorHAnsi"/>
          <w:sz w:val="22"/>
          <w:szCs w:val="22"/>
        </w:rPr>
        <w:t xml:space="preserve">tinuous </w:t>
      </w:r>
      <w:r w:rsidR="00B11033" w:rsidRPr="00B11033">
        <w:rPr>
          <w:rFonts w:asciiTheme="minorHAnsi" w:hAnsiTheme="minorHAnsi"/>
          <w:sz w:val="22"/>
          <w:szCs w:val="22"/>
        </w:rPr>
        <w:t>response multilevel models, the regression</w:t>
      </w:r>
      <w:r w:rsidR="00B11033">
        <w:rPr>
          <w:rFonts w:asciiTheme="minorHAnsi" w:hAnsiTheme="minorHAnsi"/>
          <w:sz w:val="22"/>
          <w:szCs w:val="22"/>
        </w:rPr>
        <w:t xml:space="preserve"> </w:t>
      </w:r>
      <w:r w:rsidR="00B11033" w:rsidRPr="00B11033">
        <w:rPr>
          <w:rFonts w:asciiTheme="minorHAnsi" w:hAnsiTheme="minorHAnsi"/>
          <w:sz w:val="22"/>
          <w:szCs w:val="22"/>
        </w:rPr>
        <w:t>parameter estimates appear unbiased even with small sample</w:t>
      </w:r>
      <w:r w:rsidR="00B11033">
        <w:rPr>
          <w:rFonts w:asciiTheme="minorHAnsi" w:hAnsiTheme="minorHAnsi"/>
          <w:sz w:val="22"/>
          <w:szCs w:val="22"/>
        </w:rPr>
        <w:t xml:space="preserve"> size. Maas and Hox (2005) showed that </w:t>
      </w:r>
      <w:r w:rsidR="00B11033" w:rsidRPr="00B11033">
        <w:rPr>
          <w:rFonts w:asciiTheme="minorHAnsi" w:hAnsiTheme="minorHAnsi"/>
          <w:sz w:val="22"/>
          <w:szCs w:val="22"/>
        </w:rPr>
        <w:t>only a small sample size</w:t>
      </w:r>
      <w:r w:rsidR="00B11033">
        <w:rPr>
          <w:rFonts w:asciiTheme="minorHAnsi" w:hAnsiTheme="minorHAnsi"/>
          <w:sz w:val="22"/>
          <w:szCs w:val="22"/>
        </w:rPr>
        <w:t xml:space="preserve"> </w:t>
      </w:r>
      <w:r w:rsidR="00B11033" w:rsidRPr="00B11033">
        <w:rPr>
          <w:rFonts w:asciiTheme="minorHAnsi" w:hAnsiTheme="minorHAnsi"/>
          <w:sz w:val="22"/>
          <w:szCs w:val="22"/>
        </w:rPr>
        <w:t>at level two (meaning a sample of 50 or less) leads to biased estimates of the second-level standard errors</w:t>
      </w:r>
      <w:r w:rsidR="00B11033">
        <w:rPr>
          <w:rFonts w:asciiTheme="minorHAnsi" w:hAnsiTheme="minorHAnsi"/>
          <w:sz w:val="22"/>
          <w:szCs w:val="22"/>
        </w:rPr>
        <w:t>; i</w:t>
      </w:r>
      <w:r w:rsidR="00B11033" w:rsidRPr="00B11033">
        <w:rPr>
          <w:rFonts w:asciiTheme="minorHAnsi" w:hAnsiTheme="minorHAnsi"/>
          <w:sz w:val="22"/>
          <w:szCs w:val="22"/>
        </w:rPr>
        <w:t>n all of the other</w:t>
      </w:r>
      <w:r w:rsidR="00F10C96">
        <w:rPr>
          <w:rFonts w:asciiTheme="minorHAnsi" w:hAnsiTheme="minorHAnsi"/>
          <w:sz w:val="22"/>
          <w:szCs w:val="22"/>
        </w:rPr>
        <w:t xml:space="preserve"> </w:t>
      </w:r>
      <w:r w:rsidR="008D12C0">
        <w:rPr>
          <w:rFonts w:asciiTheme="minorHAnsi" w:hAnsiTheme="minorHAnsi"/>
          <w:sz w:val="22"/>
          <w:szCs w:val="22"/>
        </w:rPr>
        <w:t>s</w:t>
      </w:r>
      <w:r w:rsidR="00B11033" w:rsidRPr="00B11033">
        <w:rPr>
          <w:rFonts w:asciiTheme="minorHAnsi" w:hAnsiTheme="minorHAnsi"/>
          <w:sz w:val="22"/>
          <w:szCs w:val="22"/>
        </w:rPr>
        <w:t>imulated</w:t>
      </w:r>
      <w:r w:rsidR="00B11033">
        <w:rPr>
          <w:rFonts w:asciiTheme="minorHAnsi" w:hAnsiTheme="minorHAnsi"/>
          <w:sz w:val="22"/>
          <w:szCs w:val="22"/>
        </w:rPr>
        <w:t xml:space="preserve"> </w:t>
      </w:r>
      <w:r w:rsidR="00B11033" w:rsidRPr="00B11033">
        <w:rPr>
          <w:rFonts w:asciiTheme="minorHAnsi" w:hAnsiTheme="minorHAnsi"/>
          <w:sz w:val="22"/>
          <w:szCs w:val="22"/>
        </w:rPr>
        <w:t>conditions the estimates of the regression coefficients, the variance components, and the standard errors are unbiased</w:t>
      </w:r>
      <w:r w:rsidR="00B11033">
        <w:rPr>
          <w:rFonts w:asciiTheme="minorHAnsi" w:hAnsiTheme="minorHAnsi"/>
          <w:sz w:val="22"/>
          <w:szCs w:val="22"/>
        </w:rPr>
        <w:t xml:space="preserve">. </w:t>
      </w:r>
      <w:proofErr w:type="spellStart"/>
      <w:r w:rsidR="00B11033" w:rsidRPr="00B11033">
        <w:rPr>
          <w:rFonts w:asciiTheme="minorHAnsi" w:hAnsiTheme="minorHAnsi"/>
          <w:sz w:val="22"/>
          <w:szCs w:val="22"/>
        </w:rPr>
        <w:t>Paccagnella</w:t>
      </w:r>
      <w:proofErr w:type="spellEnd"/>
      <w:r w:rsidR="00B11033">
        <w:rPr>
          <w:rFonts w:asciiTheme="minorHAnsi" w:hAnsiTheme="minorHAnsi"/>
          <w:sz w:val="22"/>
          <w:szCs w:val="22"/>
        </w:rPr>
        <w:t xml:space="preserve"> (2011) showed that </w:t>
      </w:r>
      <w:r w:rsidR="00B11033" w:rsidRPr="00B11033">
        <w:rPr>
          <w:rFonts w:asciiTheme="minorHAnsi" w:hAnsiTheme="minorHAnsi"/>
          <w:sz w:val="22"/>
          <w:szCs w:val="22"/>
        </w:rPr>
        <w:t>the accuracy of the</w:t>
      </w:r>
      <w:r w:rsidR="00B11033">
        <w:rPr>
          <w:rFonts w:asciiTheme="minorHAnsi" w:hAnsiTheme="minorHAnsi"/>
          <w:sz w:val="22"/>
          <w:szCs w:val="22"/>
        </w:rPr>
        <w:t xml:space="preserve"> </w:t>
      </w:r>
      <w:r w:rsidR="00B11033" w:rsidRPr="00B11033">
        <w:rPr>
          <w:rFonts w:asciiTheme="minorHAnsi" w:hAnsiTheme="minorHAnsi"/>
          <w:sz w:val="22"/>
          <w:szCs w:val="22"/>
        </w:rPr>
        <w:t>standard errors of the regression parameter estimates is</w:t>
      </w:r>
      <w:r w:rsidR="00B11033">
        <w:rPr>
          <w:rFonts w:asciiTheme="minorHAnsi" w:hAnsiTheme="minorHAnsi"/>
          <w:sz w:val="22"/>
          <w:szCs w:val="22"/>
        </w:rPr>
        <w:t xml:space="preserve"> </w:t>
      </w:r>
      <w:r w:rsidR="00B11033" w:rsidRPr="00B11033">
        <w:rPr>
          <w:rFonts w:asciiTheme="minorHAnsi" w:hAnsiTheme="minorHAnsi"/>
          <w:sz w:val="22"/>
          <w:szCs w:val="22"/>
        </w:rPr>
        <w:t xml:space="preserve">achieved with </w:t>
      </w:r>
      <w:proofErr w:type="gramStart"/>
      <w:r w:rsidR="00B11033" w:rsidRPr="00B11033">
        <w:rPr>
          <w:rFonts w:asciiTheme="minorHAnsi" w:hAnsiTheme="minorHAnsi"/>
          <w:sz w:val="22"/>
          <w:szCs w:val="22"/>
        </w:rPr>
        <w:t>a number of</w:t>
      </w:r>
      <w:proofErr w:type="gramEnd"/>
      <w:r w:rsidR="00B11033" w:rsidRPr="00B11033">
        <w:rPr>
          <w:rFonts w:asciiTheme="minorHAnsi" w:hAnsiTheme="minorHAnsi"/>
          <w:sz w:val="22"/>
          <w:szCs w:val="22"/>
        </w:rPr>
        <w:t xml:space="preserve"> groups equal to 50.</w:t>
      </w:r>
      <w:r w:rsidR="00F352CB">
        <w:rPr>
          <w:rFonts w:asciiTheme="minorHAnsi" w:hAnsiTheme="minorHAnsi"/>
          <w:sz w:val="22"/>
          <w:szCs w:val="22"/>
        </w:rPr>
        <w:t xml:space="preserve"> </w:t>
      </w:r>
      <w:r w:rsidR="00222B2E">
        <w:rPr>
          <w:rFonts w:asciiTheme="minorHAnsi" w:hAnsiTheme="minorHAnsi"/>
          <w:sz w:val="22"/>
          <w:szCs w:val="22"/>
        </w:rPr>
        <w:t>I</w:t>
      </w:r>
      <w:r w:rsidR="000F2C81">
        <w:rPr>
          <w:rFonts w:asciiTheme="minorHAnsi" w:hAnsiTheme="minorHAnsi"/>
          <w:sz w:val="22"/>
          <w:szCs w:val="22"/>
        </w:rPr>
        <w:t>n Tan et al.</w:t>
      </w:r>
      <w:r w:rsidR="00911D6A">
        <w:rPr>
          <w:rFonts w:asciiTheme="minorHAnsi" w:hAnsiTheme="minorHAnsi"/>
          <w:sz w:val="22"/>
          <w:szCs w:val="22"/>
        </w:rPr>
        <w:t xml:space="preserve"> 2015</w:t>
      </w:r>
      <w:r w:rsidR="00222B2E">
        <w:rPr>
          <w:rFonts w:asciiTheme="minorHAnsi" w:hAnsiTheme="minorHAnsi"/>
          <w:sz w:val="22"/>
          <w:szCs w:val="22"/>
        </w:rPr>
        <w:t xml:space="preserve">, MLM helped to show that STN LFPs help to encode effort rather than absolute pressing force on data recorded from </w:t>
      </w:r>
      <w:r w:rsidR="000F2C81">
        <w:rPr>
          <w:rFonts w:asciiTheme="minorHAnsi" w:hAnsiTheme="minorHAnsi"/>
          <w:sz w:val="22"/>
          <w:szCs w:val="22"/>
        </w:rPr>
        <w:t xml:space="preserve">11 patients with roughly </w:t>
      </w:r>
      <w:r w:rsidR="00222B2E">
        <w:rPr>
          <w:rFonts w:asciiTheme="minorHAnsi" w:hAnsiTheme="minorHAnsi"/>
          <w:sz w:val="22"/>
          <w:szCs w:val="22"/>
        </w:rPr>
        <w:t>50</w:t>
      </w:r>
      <w:r w:rsidR="000F2C81">
        <w:rPr>
          <w:rFonts w:asciiTheme="minorHAnsi" w:hAnsiTheme="minorHAnsi"/>
          <w:sz w:val="22"/>
          <w:szCs w:val="22"/>
        </w:rPr>
        <w:t xml:space="preserve"> trials</w:t>
      </w:r>
      <w:r w:rsidR="00222B2E">
        <w:rPr>
          <w:rFonts w:asciiTheme="minorHAnsi" w:hAnsiTheme="minorHAnsi"/>
          <w:sz w:val="22"/>
          <w:szCs w:val="22"/>
        </w:rPr>
        <w:t xml:space="preserve"> for pressing with index finger and 50 trials of </w:t>
      </w:r>
      <w:r w:rsidR="008D12C0">
        <w:rPr>
          <w:rFonts w:asciiTheme="minorHAnsi" w:hAnsiTheme="minorHAnsi"/>
          <w:sz w:val="22"/>
          <w:szCs w:val="22"/>
        </w:rPr>
        <w:t>pressing with</w:t>
      </w:r>
      <w:r w:rsidR="00222B2E">
        <w:rPr>
          <w:rFonts w:asciiTheme="minorHAnsi" w:hAnsiTheme="minorHAnsi"/>
          <w:sz w:val="22"/>
          <w:szCs w:val="22"/>
        </w:rPr>
        <w:t xml:space="preserve"> little finger. I</w:t>
      </w:r>
      <w:r w:rsidR="000F2C81">
        <w:rPr>
          <w:rFonts w:asciiTheme="minorHAnsi" w:hAnsiTheme="minorHAnsi"/>
          <w:sz w:val="22"/>
          <w:szCs w:val="22"/>
        </w:rPr>
        <w:t xml:space="preserve">n </w:t>
      </w:r>
      <w:proofErr w:type="spellStart"/>
      <w:r w:rsidR="000F2C81">
        <w:rPr>
          <w:rFonts w:asciiTheme="minorHAnsi" w:hAnsiTheme="minorHAnsi"/>
          <w:sz w:val="22"/>
          <w:szCs w:val="22"/>
        </w:rPr>
        <w:t>Toreccillos</w:t>
      </w:r>
      <w:proofErr w:type="spellEnd"/>
      <w:r w:rsidR="000F2C81">
        <w:rPr>
          <w:rFonts w:asciiTheme="minorHAnsi" w:hAnsiTheme="minorHAnsi"/>
          <w:sz w:val="22"/>
          <w:szCs w:val="22"/>
        </w:rPr>
        <w:t xml:space="preserve"> et al. 2018, </w:t>
      </w:r>
      <w:r w:rsidR="00222B2E">
        <w:rPr>
          <w:rFonts w:asciiTheme="minorHAnsi" w:hAnsiTheme="minorHAnsi"/>
          <w:sz w:val="22"/>
          <w:szCs w:val="22"/>
        </w:rPr>
        <w:t xml:space="preserve">MLM helped to show that beta bursts within a short window before the go-cue lead to slowing down in the movement speed based on </w:t>
      </w:r>
      <w:r w:rsidR="000F2C81">
        <w:rPr>
          <w:rFonts w:asciiTheme="minorHAnsi" w:hAnsiTheme="minorHAnsi"/>
          <w:sz w:val="22"/>
          <w:szCs w:val="22"/>
        </w:rPr>
        <w:t>record</w:t>
      </w:r>
      <w:r w:rsidR="008D12C0">
        <w:rPr>
          <w:rFonts w:asciiTheme="minorHAnsi" w:hAnsiTheme="minorHAnsi"/>
          <w:sz w:val="22"/>
          <w:szCs w:val="22"/>
        </w:rPr>
        <w:t>ings</w:t>
      </w:r>
      <w:r w:rsidR="000F2C81">
        <w:rPr>
          <w:rFonts w:asciiTheme="minorHAnsi" w:hAnsiTheme="minorHAnsi"/>
          <w:sz w:val="22"/>
          <w:szCs w:val="22"/>
        </w:rPr>
        <w:t xml:space="preserve"> from roughly 12 patients with 50 trials per patient. </w:t>
      </w:r>
      <w:r w:rsidR="00222B2E">
        <w:rPr>
          <w:rFonts w:asciiTheme="minorHAnsi" w:hAnsiTheme="minorHAnsi"/>
          <w:sz w:val="22"/>
          <w:szCs w:val="22"/>
        </w:rPr>
        <w:t xml:space="preserve">In the current study, </w:t>
      </w:r>
      <w:r w:rsidR="0015022D">
        <w:rPr>
          <w:rFonts w:asciiTheme="minorHAnsi" w:hAnsiTheme="minorHAnsi"/>
          <w:sz w:val="22"/>
          <w:szCs w:val="22"/>
        </w:rPr>
        <w:t xml:space="preserve">around </w:t>
      </w:r>
      <w:r w:rsidR="00884D79">
        <w:rPr>
          <w:rFonts w:asciiTheme="minorHAnsi" w:hAnsiTheme="minorHAnsi"/>
          <w:sz w:val="22"/>
          <w:szCs w:val="22"/>
        </w:rPr>
        <w:t>88</w:t>
      </w:r>
      <w:r w:rsidR="0015022D">
        <w:rPr>
          <w:rFonts w:asciiTheme="minorHAnsi" w:hAnsiTheme="minorHAnsi"/>
          <w:sz w:val="22"/>
          <w:szCs w:val="22"/>
        </w:rPr>
        <w:t xml:space="preserve"> trials</w:t>
      </w:r>
      <w:r w:rsidR="00C726BB">
        <w:rPr>
          <w:rFonts w:asciiTheme="minorHAnsi" w:hAnsiTheme="minorHAnsi"/>
          <w:sz w:val="22"/>
          <w:szCs w:val="22"/>
        </w:rPr>
        <w:t xml:space="preserve"> </w:t>
      </w:r>
      <w:r w:rsidR="00F45F73">
        <w:rPr>
          <w:rFonts w:asciiTheme="minorHAnsi" w:hAnsiTheme="minorHAnsi"/>
          <w:sz w:val="22"/>
          <w:szCs w:val="22"/>
        </w:rPr>
        <w:t xml:space="preserve">in total </w:t>
      </w:r>
      <w:r w:rsidR="00C726BB">
        <w:rPr>
          <w:rFonts w:asciiTheme="minorHAnsi" w:hAnsiTheme="minorHAnsi"/>
          <w:sz w:val="22"/>
          <w:szCs w:val="22"/>
        </w:rPr>
        <w:t xml:space="preserve">were </w:t>
      </w:r>
      <w:r w:rsidR="00F45F73">
        <w:rPr>
          <w:rFonts w:asciiTheme="minorHAnsi" w:hAnsiTheme="minorHAnsi"/>
          <w:sz w:val="22"/>
          <w:szCs w:val="22"/>
        </w:rPr>
        <w:t>recorded</w:t>
      </w:r>
      <w:r w:rsidR="0015022D">
        <w:rPr>
          <w:rFonts w:asciiTheme="minorHAnsi" w:hAnsiTheme="minorHAnsi"/>
          <w:sz w:val="22"/>
          <w:szCs w:val="22"/>
        </w:rPr>
        <w:t xml:space="preserve"> for each hemisphere (</w:t>
      </w:r>
      <w:r w:rsidR="0015022D" w:rsidRPr="00DD187D">
        <w:rPr>
          <w:rFonts w:asciiTheme="minorHAnsi" w:hAnsiTheme="minorHAnsi"/>
          <w:b/>
          <w:bCs/>
          <w:sz w:val="22"/>
          <w:szCs w:val="22"/>
        </w:rPr>
        <w:t>L</w:t>
      </w:r>
      <w:r w:rsidR="00B82A33">
        <w:rPr>
          <w:rFonts w:asciiTheme="minorHAnsi" w:hAnsiTheme="minorHAnsi"/>
          <w:b/>
          <w:bCs/>
          <w:sz w:val="22"/>
          <w:szCs w:val="22"/>
        </w:rPr>
        <w:t>60</w:t>
      </w:r>
      <w:r w:rsidR="0015022D" w:rsidRPr="00DD187D">
        <w:rPr>
          <w:rFonts w:asciiTheme="minorHAnsi" w:hAnsiTheme="minorHAnsi"/>
          <w:b/>
          <w:bCs/>
          <w:sz w:val="22"/>
          <w:szCs w:val="22"/>
        </w:rPr>
        <w:t>5</w:t>
      </w:r>
      <w:r w:rsidR="0015022D">
        <w:rPr>
          <w:rFonts w:asciiTheme="minorHAnsi" w:hAnsiTheme="minorHAnsi"/>
          <w:sz w:val="22"/>
          <w:szCs w:val="22"/>
        </w:rPr>
        <w:t>)</w:t>
      </w:r>
      <w:r w:rsidR="00222B2E">
        <w:rPr>
          <w:rFonts w:asciiTheme="minorHAnsi" w:hAnsiTheme="minorHAnsi"/>
          <w:sz w:val="22"/>
          <w:szCs w:val="22"/>
        </w:rPr>
        <w:t xml:space="preserve">. </w:t>
      </w:r>
      <w:r w:rsidR="00A05DEC">
        <w:rPr>
          <w:rFonts w:asciiTheme="minorHAnsi" w:hAnsiTheme="minorHAnsi"/>
          <w:sz w:val="22"/>
          <w:szCs w:val="22"/>
        </w:rPr>
        <w:t>Therefore, w</w:t>
      </w:r>
      <w:r w:rsidR="00222B2E">
        <w:rPr>
          <w:rFonts w:asciiTheme="minorHAnsi" w:hAnsiTheme="minorHAnsi"/>
          <w:sz w:val="22"/>
          <w:szCs w:val="22"/>
        </w:rPr>
        <w:t xml:space="preserve">e </w:t>
      </w:r>
      <w:r w:rsidR="00596DCC" w:rsidRPr="00596DCC">
        <w:rPr>
          <w:rFonts w:asciiTheme="minorHAnsi" w:hAnsiTheme="minorHAnsi"/>
          <w:sz w:val="22"/>
          <w:szCs w:val="22"/>
        </w:rPr>
        <w:t xml:space="preserve">assume </w:t>
      </w:r>
      <w:r w:rsidR="00596DCC">
        <w:rPr>
          <w:rFonts w:asciiTheme="minorHAnsi" w:hAnsiTheme="minorHAnsi"/>
          <w:sz w:val="22"/>
          <w:szCs w:val="22"/>
        </w:rPr>
        <w:t>this would be reasonably sufficient.</w:t>
      </w:r>
    </w:p>
    <w:p w14:paraId="21ABD201" w14:textId="77777777" w:rsidR="00DB4D06" w:rsidRDefault="00DB4D06" w:rsidP="00295A52">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
    <w:p w14:paraId="7FF843C9" w14:textId="77777777" w:rsidR="0015519A" w:rsidRPr="00505C51" w:rsidRDefault="0015519A" w:rsidP="00FF5ED7">
      <w:pPr>
        <w:rPr>
          <w:rFonts w:asciiTheme="minorHAnsi" w:hAnsiTheme="minorHAnsi"/>
          <w:sz w:val="22"/>
          <w:szCs w:val="22"/>
          <w:lang w:val="en-GB"/>
        </w:rPr>
      </w:pPr>
    </w:p>
    <w:p w14:paraId="38572D90" w14:textId="761F9C0D" w:rsidR="008D12C0" w:rsidRDefault="00911D6A"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roofErr w:type="spellStart"/>
      <w:r w:rsidRPr="00911D6A">
        <w:rPr>
          <w:rFonts w:asciiTheme="minorHAnsi" w:hAnsiTheme="minorHAnsi"/>
          <w:i/>
          <w:sz w:val="22"/>
          <w:szCs w:val="22"/>
        </w:rPr>
        <w:lastRenderedPageBreak/>
        <w:t>Aarts</w:t>
      </w:r>
      <w:proofErr w:type="spellEnd"/>
      <w:r w:rsidRPr="00911D6A">
        <w:rPr>
          <w:rFonts w:asciiTheme="minorHAnsi" w:hAnsiTheme="minorHAnsi"/>
          <w:i/>
          <w:sz w:val="22"/>
          <w:szCs w:val="22"/>
        </w:rPr>
        <w:t xml:space="preserve"> E, Dolan CV, </w:t>
      </w:r>
      <w:proofErr w:type="spellStart"/>
      <w:r w:rsidRPr="00911D6A">
        <w:rPr>
          <w:rFonts w:asciiTheme="minorHAnsi" w:hAnsiTheme="minorHAnsi"/>
          <w:i/>
          <w:sz w:val="22"/>
          <w:szCs w:val="22"/>
        </w:rPr>
        <w:t>Verhage</w:t>
      </w:r>
      <w:proofErr w:type="spellEnd"/>
      <w:r w:rsidRPr="00911D6A">
        <w:rPr>
          <w:rFonts w:asciiTheme="minorHAnsi" w:hAnsiTheme="minorHAnsi"/>
          <w:i/>
          <w:sz w:val="22"/>
          <w:szCs w:val="22"/>
        </w:rPr>
        <w:t xml:space="preserve"> M, van der </w:t>
      </w:r>
      <w:proofErr w:type="spellStart"/>
      <w:r w:rsidRPr="00911D6A">
        <w:rPr>
          <w:rFonts w:asciiTheme="minorHAnsi" w:hAnsiTheme="minorHAnsi"/>
          <w:i/>
          <w:sz w:val="22"/>
          <w:szCs w:val="22"/>
        </w:rPr>
        <w:t>Sluis</w:t>
      </w:r>
      <w:proofErr w:type="spellEnd"/>
      <w:r w:rsidRPr="00911D6A">
        <w:rPr>
          <w:rFonts w:asciiTheme="minorHAnsi" w:hAnsiTheme="minorHAnsi"/>
          <w:i/>
          <w:sz w:val="22"/>
          <w:szCs w:val="22"/>
        </w:rPr>
        <w:t xml:space="preserve"> S</w:t>
      </w:r>
      <w:r>
        <w:rPr>
          <w:rFonts w:asciiTheme="minorHAnsi" w:hAnsiTheme="minorHAnsi"/>
          <w:i/>
          <w:sz w:val="22"/>
          <w:szCs w:val="22"/>
        </w:rPr>
        <w:t xml:space="preserve"> (2015)</w:t>
      </w:r>
      <w:r w:rsidRPr="00911D6A">
        <w:rPr>
          <w:rFonts w:asciiTheme="minorHAnsi" w:hAnsiTheme="minorHAnsi"/>
          <w:i/>
          <w:sz w:val="22"/>
          <w:szCs w:val="22"/>
        </w:rPr>
        <w:t xml:space="preserve"> Multilevel analysis quantifies variation in the experimental effect while optimizing power and preventing false positives. BMC neuroscience</w:t>
      </w:r>
      <w:r>
        <w:rPr>
          <w:rFonts w:asciiTheme="minorHAnsi" w:hAnsiTheme="minorHAnsi"/>
          <w:i/>
          <w:sz w:val="22"/>
          <w:szCs w:val="22"/>
        </w:rPr>
        <w:t xml:space="preserve"> </w:t>
      </w:r>
      <w:r w:rsidRPr="00911D6A">
        <w:rPr>
          <w:rFonts w:asciiTheme="minorHAnsi" w:hAnsiTheme="minorHAnsi"/>
          <w:i/>
          <w:sz w:val="22"/>
          <w:szCs w:val="22"/>
        </w:rPr>
        <w:t>16:94.</w:t>
      </w:r>
    </w:p>
    <w:p w14:paraId="21B951EA" w14:textId="6236CB56" w:rsidR="00911D6A" w:rsidRDefault="00911D6A"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
    <w:p w14:paraId="229FA64A" w14:textId="6134F0D3" w:rsidR="00911D6A" w:rsidRPr="00911D6A" w:rsidRDefault="00911D6A" w:rsidP="00911D6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roofErr w:type="spellStart"/>
      <w:r w:rsidRPr="00911D6A">
        <w:rPr>
          <w:rFonts w:asciiTheme="minorHAnsi" w:hAnsiTheme="minorHAnsi"/>
          <w:i/>
          <w:sz w:val="22"/>
          <w:szCs w:val="22"/>
        </w:rPr>
        <w:t>Danhier</w:t>
      </w:r>
      <w:proofErr w:type="spellEnd"/>
      <w:r w:rsidRPr="00911D6A">
        <w:rPr>
          <w:rFonts w:asciiTheme="minorHAnsi" w:hAnsiTheme="minorHAnsi"/>
          <w:i/>
          <w:sz w:val="22"/>
          <w:szCs w:val="22"/>
        </w:rPr>
        <w:t xml:space="preserve"> J, </w:t>
      </w:r>
      <w:proofErr w:type="spellStart"/>
      <w:r w:rsidRPr="00911D6A">
        <w:rPr>
          <w:rFonts w:asciiTheme="minorHAnsi" w:hAnsiTheme="minorHAnsi"/>
          <w:i/>
          <w:sz w:val="22"/>
          <w:szCs w:val="22"/>
        </w:rPr>
        <w:t>Giladi</w:t>
      </w:r>
      <w:proofErr w:type="spellEnd"/>
      <w:r w:rsidRPr="00911D6A">
        <w:rPr>
          <w:rFonts w:asciiTheme="minorHAnsi" w:hAnsiTheme="minorHAnsi"/>
          <w:i/>
          <w:sz w:val="22"/>
          <w:szCs w:val="22"/>
        </w:rPr>
        <w:t xml:space="preserve"> M, </w:t>
      </w:r>
      <w:proofErr w:type="spellStart"/>
      <w:r w:rsidRPr="00911D6A">
        <w:rPr>
          <w:rFonts w:asciiTheme="minorHAnsi" w:hAnsiTheme="minorHAnsi"/>
          <w:i/>
          <w:sz w:val="22"/>
          <w:szCs w:val="22"/>
        </w:rPr>
        <w:t>Veny</w:t>
      </w:r>
      <w:proofErr w:type="spellEnd"/>
      <w:r w:rsidRPr="00911D6A">
        <w:rPr>
          <w:rFonts w:asciiTheme="minorHAnsi" w:hAnsiTheme="minorHAnsi"/>
          <w:i/>
          <w:sz w:val="22"/>
          <w:szCs w:val="22"/>
        </w:rPr>
        <w:t xml:space="preserve"> Y</w:t>
      </w:r>
      <w:r>
        <w:rPr>
          <w:rFonts w:asciiTheme="minorHAnsi" w:hAnsiTheme="minorHAnsi"/>
          <w:i/>
          <w:sz w:val="22"/>
          <w:szCs w:val="22"/>
        </w:rPr>
        <w:t xml:space="preserve"> (2013)</w:t>
      </w:r>
      <w:r w:rsidRPr="00911D6A">
        <w:rPr>
          <w:rFonts w:asciiTheme="minorHAnsi" w:hAnsiTheme="minorHAnsi"/>
          <w:i/>
          <w:sz w:val="22"/>
          <w:szCs w:val="22"/>
        </w:rPr>
        <w:t xml:space="preserve"> Bias in multilevel modeling with small level-two sample size: A simulation study.</w:t>
      </w:r>
      <w:r>
        <w:rPr>
          <w:rFonts w:asciiTheme="minorHAnsi" w:hAnsiTheme="minorHAnsi"/>
          <w:i/>
          <w:sz w:val="22"/>
          <w:szCs w:val="22"/>
        </w:rPr>
        <w:t xml:space="preserve"> </w:t>
      </w:r>
      <w:r w:rsidRPr="00911D6A">
        <w:rPr>
          <w:rFonts w:asciiTheme="minorHAnsi" w:hAnsiTheme="minorHAnsi"/>
          <w:i/>
          <w:sz w:val="22"/>
          <w:szCs w:val="22"/>
        </w:rPr>
        <w:t>Conference: 5th Conference of the European Survey Research Association (ESRA 2013)</w:t>
      </w:r>
      <w:r>
        <w:rPr>
          <w:rFonts w:asciiTheme="minorHAnsi" w:hAnsiTheme="minorHAnsi"/>
          <w:i/>
          <w:sz w:val="22"/>
          <w:szCs w:val="22"/>
        </w:rPr>
        <w:t xml:space="preserve"> </w:t>
      </w:r>
      <w:r w:rsidRPr="00911D6A">
        <w:rPr>
          <w:rFonts w:asciiTheme="minorHAnsi" w:hAnsiTheme="minorHAnsi"/>
          <w:i/>
          <w:sz w:val="22"/>
          <w:szCs w:val="22"/>
        </w:rPr>
        <w:t>Ljubljana</w:t>
      </w:r>
    </w:p>
    <w:p w14:paraId="27A62576" w14:textId="77777777" w:rsidR="00911D6A" w:rsidRDefault="00911D6A"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
    <w:p w14:paraId="0E237A7B" w14:textId="7E4B16DF" w:rsidR="008D12C0" w:rsidRPr="0015022D" w:rsidRDefault="008D12C0"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r w:rsidRPr="0015022D">
        <w:rPr>
          <w:rFonts w:asciiTheme="minorHAnsi" w:hAnsiTheme="minorHAnsi"/>
          <w:i/>
          <w:sz w:val="22"/>
          <w:szCs w:val="22"/>
        </w:rPr>
        <w:t xml:space="preserve">Fischer P, </w:t>
      </w:r>
      <w:proofErr w:type="spellStart"/>
      <w:r w:rsidRPr="0015022D">
        <w:rPr>
          <w:rFonts w:asciiTheme="minorHAnsi" w:hAnsiTheme="minorHAnsi"/>
          <w:i/>
          <w:sz w:val="22"/>
          <w:szCs w:val="22"/>
        </w:rPr>
        <w:t>Pogosyan</w:t>
      </w:r>
      <w:proofErr w:type="spellEnd"/>
      <w:r w:rsidRPr="0015022D">
        <w:rPr>
          <w:rFonts w:asciiTheme="minorHAnsi" w:hAnsiTheme="minorHAnsi"/>
          <w:i/>
          <w:sz w:val="22"/>
          <w:szCs w:val="22"/>
        </w:rPr>
        <w:t xml:space="preserve"> A, </w:t>
      </w:r>
      <w:proofErr w:type="spellStart"/>
      <w:r w:rsidRPr="0015022D">
        <w:rPr>
          <w:rFonts w:asciiTheme="minorHAnsi" w:hAnsiTheme="minorHAnsi"/>
          <w:i/>
          <w:sz w:val="22"/>
          <w:szCs w:val="22"/>
        </w:rPr>
        <w:t>Cheeran</w:t>
      </w:r>
      <w:proofErr w:type="spellEnd"/>
      <w:r w:rsidRPr="0015022D">
        <w:rPr>
          <w:rFonts w:asciiTheme="minorHAnsi" w:hAnsiTheme="minorHAnsi"/>
          <w:i/>
          <w:sz w:val="22"/>
          <w:szCs w:val="22"/>
        </w:rPr>
        <w:t xml:space="preserve"> B, Green AL, Aziz TZ, </w:t>
      </w:r>
      <w:proofErr w:type="spellStart"/>
      <w:r w:rsidRPr="0015022D">
        <w:rPr>
          <w:rFonts w:asciiTheme="minorHAnsi" w:hAnsiTheme="minorHAnsi"/>
          <w:i/>
          <w:sz w:val="22"/>
          <w:szCs w:val="22"/>
        </w:rPr>
        <w:t>Hyam</w:t>
      </w:r>
      <w:proofErr w:type="spellEnd"/>
      <w:r w:rsidRPr="0015022D">
        <w:rPr>
          <w:rFonts w:asciiTheme="minorHAnsi" w:hAnsiTheme="minorHAnsi"/>
          <w:i/>
          <w:sz w:val="22"/>
          <w:szCs w:val="22"/>
        </w:rPr>
        <w:t xml:space="preserve"> J, Little S, </w:t>
      </w:r>
      <w:proofErr w:type="spellStart"/>
      <w:r w:rsidRPr="0015022D">
        <w:rPr>
          <w:rFonts w:asciiTheme="minorHAnsi" w:hAnsiTheme="minorHAnsi"/>
          <w:i/>
          <w:sz w:val="22"/>
          <w:szCs w:val="22"/>
        </w:rPr>
        <w:t>Foltynie</w:t>
      </w:r>
      <w:proofErr w:type="spellEnd"/>
      <w:r w:rsidRPr="0015022D">
        <w:rPr>
          <w:rFonts w:asciiTheme="minorHAnsi" w:hAnsiTheme="minorHAnsi"/>
          <w:i/>
          <w:sz w:val="22"/>
          <w:szCs w:val="22"/>
        </w:rPr>
        <w:t xml:space="preserve"> T, </w:t>
      </w:r>
      <w:proofErr w:type="spellStart"/>
      <w:r w:rsidRPr="0015022D">
        <w:rPr>
          <w:rFonts w:asciiTheme="minorHAnsi" w:hAnsiTheme="minorHAnsi"/>
          <w:i/>
          <w:sz w:val="22"/>
          <w:szCs w:val="22"/>
        </w:rPr>
        <w:t>Limousin</w:t>
      </w:r>
      <w:proofErr w:type="spellEnd"/>
      <w:r w:rsidRPr="0015022D">
        <w:rPr>
          <w:rFonts w:asciiTheme="minorHAnsi" w:hAnsiTheme="minorHAnsi"/>
          <w:i/>
          <w:sz w:val="22"/>
          <w:szCs w:val="22"/>
        </w:rPr>
        <w:t xml:space="preserve"> P, </w:t>
      </w:r>
      <w:proofErr w:type="spellStart"/>
      <w:r w:rsidRPr="0015022D">
        <w:rPr>
          <w:rFonts w:asciiTheme="minorHAnsi" w:hAnsiTheme="minorHAnsi"/>
          <w:i/>
          <w:sz w:val="22"/>
          <w:szCs w:val="22"/>
        </w:rPr>
        <w:t>Zrinzo</w:t>
      </w:r>
      <w:proofErr w:type="spellEnd"/>
      <w:r w:rsidRPr="0015022D">
        <w:rPr>
          <w:rFonts w:asciiTheme="minorHAnsi" w:hAnsiTheme="minorHAnsi"/>
          <w:i/>
          <w:sz w:val="22"/>
          <w:szCs w:val="22"/>
        </w:rPr>
        <w:t xml:space="preserve"> L, </w:t>
      </w:r>
      <w:proofErr w:type="spellStart"/>
      <w:r w:rsidRPr="0015022D">
        <w:rPr>
          <w:rFonts w:asciiTheme="minorHAnsi" w:hAnsiTheme="minorHAnsi"/>
          <w:i/>
          <w:sz w:val="22"/>
          <w:szCs w:val="22"/>
        </w:rPr>
        <w:t>Hariz</w:t>
      </w:r>
      <w:proofErr w:type="spellEnd"/>
      <w:r w:rsidRPr="0015022D">
        <w:rPr>
          <w:rFonts w:asciiTheme="minorHAnsi" w:hAnsiTheme="minorHAnsi"/>
          <w:i/>
          <w:sz w:val="22"/>
          <w:szCs w:val="22"/>
        </w:rPr>
        <w:t xml:space="preserve"> M (2017) Subthalamic nucleus beta and gamma activity is modulated depending on the level of imagined grip force. Exp Neurol 293:53-61.</w:t>
      </w:r>
    </w:p>
    <w:p w14:paraId="021E87F2" w14:textId="77777777" w:rsidR="008D12C0" w:rsidRDefault="008D12C0"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
    <w:p w14:paraId="71B37F31" w14:textId="3A12D346" w:rsidR="008D12C0" w:rsidRDefault="008D12C0"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roofErr w:type="spellStart"/>
      <w:r w:rsidRPr="002D4DDC">
        <w:rPr>
          <w:rFonts w:asciiTheme="minorHAnsi" w:hAnsiTheme="minorHAnsi"/>
          <w:i/>
          <w:sz w:val="22"/>
          <w:szCs w:val="22"/>
        </w:rPr>
        <w:t>Fukuma</w:t>
      </w:r>
      <w:proofErr w:type="spellEnd"/>
      <w:r w:rsidRPr="002D4DDC">
        <w:rPr>
          <w:rFonts w:asciiTheme="minorHAnsi" w:hAnsiTheme="minorHAnsi"/>
          <w:i/>
          <w:sz w:val="22"/>
          <w:szCs w:val="22"/>
        </w:rPr>
        <w:t xml:space="preserve"> R, Yanagisawa T, Tanaka M, Yoshida F, </w:t>
      </w:r>
      <w:proofErr w:type="spellStart"/>
      <w:r w:rsidRPr="002D4DDC">
        <w:rPr>
          <w:rFonts w:asciiTheme="minorHAnsi" w:hAnsiTheme="minorHAnsi"/>
          <w:i/>
          <w:sz w:val="22"/>
          <w:szCs w:val="22"/>
        </w:rPr>
        <w:t>Hosomi</w:t>
      </w:r>
      <w:proofErr w:type="spellEnd"/>
      <w:r w:rsidRPr="002D4DDC">
        <w:rPr>
          <w:rFonts w:asciiTheme="minorHAnsi" w:hAnsiTheme="minorHAnsi"/>
          <w:i/>
          <w:sz w:val="22"/>
          <w:szCs w:val="22"/>
        </w:rPr>
        <w:t xml:space="preserve"> K, </w:t>
      </w:r>
      <w:proofErr w:type="spellStart"/>
      <w:r w:rsidRPr="002D4DDC">
        <w:rPr>
          <w:rFonts w:asciiTheme="minorHAnsi" w:hAnsiTheme="minorHAnsi"/>
          <w:i/>
          <w:sz w:val="22"/>
          <w:szCs w:val="22"/>
        </w:rPr>
        <w:t>Oshino</w:t>
      </w:r>
      <w:proofErr w:type="spellEnd"/>
      <w:r w:rsidRPr="002D4DDC">
        <w:rPr>
          <w:rFonts w:asciiTheme="minorHAnsi" w:hAnsiTheme="minorHAnsi"/>
          <w:i/>
          <w:sz w:val="22"/>
          <w:szCs w:val="22"/>
        </w:rPr>
        <w:t xml:space="preserve"> S, </w:t>
      </w:r>
      <w:proofErr w:type="spellStart"/>
      <w:r w:rsidRPr="002D4DDC">
        <w:rPr>
          <w:rFonts w:asciiTheme="minorHAnsi" w:hAnsiTheme="minorHAnsi"/>
          <w:i/>
          <w:sz w:val="22"/>
          <w:szCs w:val="22"/>
        </w:rPr>
        <w:t>Tani</w:t>
      </w:r>
      <w:proofErr w:type="spellEnd"/>
      <w:r w:rsidRPr="002D4DDC">
        <w:rPr>
          <w:rFonts w:asciiTheme="minorHAnsi" w:hAnsiTheme="minorHAnsi"/>
          <w:i/>
          <w:sz w:val="22"/>
          <w:szCs w:val="22"/>
        </w:rPr>
        <w:t xml:space="preserve"> N, </w:t>
      </w:r>
      <w:proofErr w:type="spellStart"/>
      <w:r w:rsidRPr="002D4DDC">
        <w:rPr>
          <w:rFonts w:asciiTheme="minorHAnsi" w:hAnsiTheme="minorHAnsi"/>
          <w:i/>
          <w:sz w:val="22"/>
          <w:szCs w:val="22"/>
        </w:rPr>
        <w:t>Kishima</w:t>
      </w:r>
      <w:proofErr w:type="spellEnd"/>
      <w:r w:rsidRPr="002D4DDC">
        <w:rPr>
          <w:rFonts w:asciiTheme="minorHAnsi" w:hAnsiTheme="minorHAnsi"/>
          <w:i/>
          <w:sz w:val="22"/>
          <w:szCs w:val="22"/>
        </w:rPr>
        <w:t xml:space="preserve"> H (2018) Real-time neurofeedback to modulate β-band power in the subthalamic nucleus in Parkinson’s disease patients. </w:t>
      </w:r>
      <w:proofErr w:type="spellStart"/>
      <w:r w:rsidRPr="002D4DDC">
        <w:rPr>
          <w:rFonts w:asciiTheme="minorHAnsi" w:hAnsiTheme="minorHAnsi"/>
          <w:i/>
          <w:sz w:val="22"/>
          <w:szCs w:val="22"/>
        </w:rPr>
        <w:t>eNeuro</w:t>
      </w:r>
      <w:proofErr w:type="spellEnd"/>
      <w:r w:rsidRPr="002D4DDC">
        <w:rPr>
          <w:rFonts w:asciiTheme="minorHAnsi" w:hAnsiTheme="minorHAnsi"/>
          <w:i/>
          <w:sz w:val="22"/>
          <w:szCs w:val="22"/>
        </w:rPr>
        <w:t xml:space="preserve"> 5.</w:t>
      </w:r>
    </w:p>
    <w:p w14:paraId="3F96A933" w14:textId="11ACD784" w:rsidR="008D12C0" w:rsidRDefault="008D12C0"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
    <w:p w14:paraId="2ED4A51E" w14:textId="31EB9BC0" w:rsidR="00911D6A" w:rsidRDefault="00911D6A"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roofErr w:type="spellStart"/>
      <w:r w:rsidRPr="00911D6A">
        <w:rPr>
          <w:rFonts w:asciiTheme="minorHAnsi" w:hAnsiTheme="minorHAnsi"/>
          <w:i/>
          <w:sz w:val="22"/>
          <w:szCs w:val="22"/>
        </w:rPr>
        <w:t>Paccagnella</w:t>
      </w:r>
      <w:proofErr w:type="spellEnd"/>
      <w:r w:rsidRPr="00911D6A">
        <w:rPr>
          <w:rFonts w:asciiTheme="minorHAnsi" w:hAnsiTheme="minorHAnsi"/>
          <w:i/>
          <w:sz w:val="22"/>
          <w:szCs w:val="22"/>
        </w:rPr>
        <w:t xml:space="preserve"> O</w:t>
      </w:r>
      <w:r>
        <w:rPr>
          <w:rFonts w:asciiTheme="minorHAnsi" w:hAnsiTheme="minorHAnsi"/>
          <w:i/>
          <w:sz w:val="22"/>
          <w:szCs w:val="22"/>
        </w:rPr>
        <w:t xml:space="preserve"> (2011)</w:t>
      </w:r>
      <w:r w:rsidRPr="00911D6A">
        <w:rPr>
          <w:rFonts w:asciiTheme="minorHAnsi" w:hAnsiTheme="minorHAnsi"/>
          <w:i/>
          <w:sz w:val="22"/>
          <w:szCs w:val="22"/>
        </w:rPr>
        <w:t xml:space="preserve"> Sample size and accuracy of estimates in multilevel models. Methodology</w:t>
      </w:r>
      <w:r>
        <w:rPr>
          <w:rFonts w:asciiTheme="minorHAnsi" w:hAnsiTheme="minorHAnsi"/>
          <w:i/>
          <w:sz w:val="22"/>
          <w:szCs w:val="22"/>
        </w:rPr>
        <w:t xml:space="preserve"> 7:111-120</w:t>
      </w:r>
      <w:r w:rsidRPr="00911D6A">
        <w:rPr>
          <w:rFonts w:asciiTheme="minorHAnsi" w:hAnsiTheme="minorHAnsi"/>
          <w:i/>
          <w:sz w:val="22"/>
          <w:szCs w:val="22"/>
        </w:rPr>
        <w:t>.</w:t>
      </w:r>
    </w:p>
    <w:p w14:paraId="5DC8F1CF" w14:textId="51E365EB" w:rsidR="00911D6A" w:rsidRDefault="00911D6A"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
    <w:p w14:paraId="1BC9C9DB" w14:textId="26C3B33E" w:rsidR="00911D6A" w:rsidRDefault="00911D6A"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r w:rsidRPr="00911D6A">
        <w:rPr>
          <w:rFonts w:asciiTheme="minorHAnsi" w:hAnsiTheme="minorHAnsi"/>
          <w:i/>
          <w:sz w:val="22"/>
          <w:szCs w:val="22"/>
        </w:rPr>
        <w:t>Maas CJ, Hox JJ</w:t>
      </w:r>
      <w:r>
        <w:rPr>
          <w:rFonts w:asciiTheme="minorHAnsi" w:hAnsiTheme="minorHAnsi"/>
          <w:i/>
          <w:sz w:val="22"/>
          <w:szCs w:val="22"/>
        </w:rPr>
        <w:t xml:space="preserve"> (2005)</w:t>
      </w:r>
      <w:r w:rsidRPr="00911D6A">
        <w:rPr>
          <w:rFonts w:asciiTheme="minorHAnsi" w:hAnsiTheme="minorHAnsi"/>
          <w:i/>
          <w:sz w:val="22"/>
          <w:szCs w:val="22"/>
        </w:rPr>
        <w:t xml:space="preserve"> Sufficient sample sizes for multilevel modeling. Methodology</w:t>
      </w:r>
      <w:r>
        <w:rPr>
          <w:rFonts w:asciiTheme="minorHAnsi" w:hAnsiTheme="minorHAnsi"/>
          <w:i/>
          <w:sz w:val="22"/>
          <w:szCs w:val="22"/>
        </w:rPr>
        <w:t xml:space="preserve"> </w:t>
      </w:r>
      <w:r w:rsidRPr="00911D6A">
        <w:rPr>
          <w:rFonts w:asciiTheme="minorHAnsi" w:hAnsiTheme="minorHAnsi"/>
          <w:i/>
          <w:sz w:val="22"/>
          <w:szCs w:val="22"/>
        </w:rPr>
        <w:t>1:86-92.</w:t>
      </w:r>
    </w:p>
    <w:p w14:paraId="7FF8181E" w14:textId="77777777" w:rsidR="00911D6A" w:rsidRDefault="00911D6A"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
    <w:p w14:paraId="3A6E4DBF" w14:textId="16009D82" w:rsidR="008D12C0" w:rsidRDefault="008D12C0"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r w:rsidRPr="00DB4D06">
        <w:rPr>
          <w:rFonts w:asciiTheme="minorHAnsi" w:hAnsiTheme="minorHAnsi"/>
          <w:i/>
          <w:sz w:val="22"/>
          <w:szCs w:val="22"/>
        </w:rPr>
        <w:t xml:space="preserve">Tan H, </w:t>
      </w:r>
      <w:proofErr w:type="spellStart"/>
      <w:r w:rsidRPr="00DB4D06">
        <w:rPr>
          <w:rFonts w:asciiTheme="minorHAnsi" w:hAnsiTheme="minorHAnsi"/>
          <w:i/>
          <w:sz w:val="22"/>
          <w:szCs w:val="22"/>
        </w:rPr>
        <w:t>Pogosyan</w:t>
      </w:r>
      <w:proofErr w:type="spellEnd"/>
      <w:r w:rsidRPr="00DB4D06">
        <w:rPr>
          <w:rFonts w:asciiTheme="minorHAnsi" w:hAnsiTheme="minorHAnsi"/>
          <w:i/>
          <w:sz w:val="22"/>
          <w:szCs w:val="22"/>
        </w:rPr>
        <w:t xml:space="preserve"> A, Ashkan K, </w:t>
      </w:r>
      <w:proofErr w:type="spellStart"/>
      <w:r w:rsidRPr="00DB4D06">
        <w:rPr>
          <w:rFonts w:asciiTheme="minorHAnsi" w:hAnsiTheme="minorHAnsi"/>
          <w:i/>
          <w:sz w:val="22"/>
          <w:szCs w:val="22"/>
        </w:rPr>
        <w:t>Cheeran</w:t>
      </w:r>
      <w:proofErr w:type="spellEnd"/>
      <w:r w:rsidRPr="00DB4D06">
        <w:rPr>
          <w:rFonts w:asciiTheme="minorHAnsi" w:hAnsiTheme="minorHAnsi"/>
          <w:i/>
          <w:sz w:val="22"/>
          <w:szCs w:val="22"/>
        </w:rPr>
        <w:t xml:space="preserve"> B, FitzGerald JJ, Green AL, Aziz T, </w:t>
      </w:r>
      <w:proofErr w:type="spellStart"/>
      <w:r w:rsidRPr="00DB4D06">
        <w:rPr>
          <w:rFonts w:asciiTheme="minorHAnsi" w:hAnsiTheme="minorHAnsi"/>
          <w:i/>
          <w:sz w:val="22"/>
          <w:szCs w:val="22"/>
        </w:rPr>
        <w:t>Foltynie</w:t>
      </w:r>
      <w:proofErr w:type="spellEnd"/>
      <w:r w:rsidRPr="00DB4D06">
        <w:rPr>
          <w:rFonts w:asciiTheme="minorHAnsi" w:hAnsiTheme="minorHAnsi"/>
          <w:i/>
          <w:sz w:val="22"/>
          <w:szCs w:val="22"/>
        </w:rPr>
        <w:t xml:space="preserve"> T, </w:t>
      </w:r>
      <w:proofErr w:type="spellStart"/>
      <w:r w:rsidRPr="00DB4D06">
        <w:rPr>
          <w:rFonts w:asciiTheme="minorHAnsi" w:hAnsiTheme="minorHAnsi"/>
          <w:i/>
          <w:sz w:val="22"/>
          <w:szCs w:val="22"/>
        </w:rPr>
        <w:t>Limousin</w:t>
      </w:r>
      <w:proofErr w:type="spellEnd"/>
      <w:r w:rsidRPr="00DB4D06">
        <w:rPr>
          <w:rFonts w:asciiTheme="minorHAnsi" w:hAnsiTheme="minorHAnsi"/>
          <w:i/>
          <w:sz w:val="22"/>
          <w:szCs w:val="22"/>
        </w:rPr>
        <w:t xml:space="preserve"> P, </w:t>
      </w:r>
      <w:proofErr w:type="spellStart"/>
      <w:r w:rsidRPr="00DB4D06">
        <w:rPr>
          <w:rFonts w:asciiTheme="minorHAnsi" w:hAnsiTheme="minorHAnsi"/>
          <w:i/>
          <w:sz w:val="22"/>
          <w:szCs w:val="22"/>
        </w:rPr>
        <w:t>Zrinzo</w:t>
      </w:r>
      <w:proofErr w:type="spellEnd"/>
      <w:r w:rsidRPr="00DB4D06">
        <w:rPr>
          <w:rFonts w:asciiTheme="minorHAnsi" w:hAnsiTheme="minorHAnsi"/>
          <w:i/>
          <w:sz w:val="22"/>
          <w:szCs w:val="22"/>
        </w:rPr>
        <w:t xml:space="preserve"> L, Brown P (2015) Subthalamic nucleus local field potential activity helps encode motor effort rather than force in parkinsonism. J </w:t>
      </w:r>
      <w:proofErr w:type="spellStart"/>
      <w:r w:rsidRPr="00DB4D06">
        <w:rPr>
          <w:rFonts w:asciiTheme="minorHAnsi" w:hAnsiTheme="minorHAnsi"/>
          <w:i/>
          <w:sz w:val="22"/>
          <w:szCs w:val="22"/>
        </w:rPr>
        <w:t>Neurosci</w:t>
      </w:r>
      <w:proofErr w:type="spellEnd"/>
      <w:r w:rsidRPr="00DB4D06">
        <w:rPr>
          <w:rFonts w:asciiTheme="minorHAnsi" w:hAnsiTheme="minorHAnsi"/>
          <w:i/>
          <w:sz w:val="22"/>
          <w:szCs w:val="22"/>
        </w:rPr>
        <w:t xml:space="preserve"> 35:5941-5949.</w:t>
      </w:r>
    </w:p>
    <w:p w14:paraId="30A74963" w14:textId="6D08BFBB" w:rsidR="008D12C0" w:rsidRDefault="008D12C0"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
    <w:p w14:paraId="3D27C99D" w14:textId="3E0954B4" w:rsidR="008D12C0" w:rsidRPr="008D12C0" w:rsidRDefault="008D12C0" w:rsidP="008D12C0">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i/>
          <w:sz w:val="22"/>
          <w:szCs w:val="22"/>
        </w:rPr>
      </w:pPr>
      <w:proofErr w:type="spellStart"/>
      <w:r w:rsidRPr="00DB4D06">
        <w:rPr>
          <w:rFonts w:asciiTheme="minorHAnsi" w:hAnsiTheme="minorHAnsi"/>
          <w:i/>
          <w:sz w:val="22"/>
          <w:szCs w:val="22"/>
        </w:rPr>
        <w:t>Torrecillos</w:t>
      </w:r>
      <w:proofErr w:type="spellEnd"/>
      <w:r w:rsidRPr="00DB4D06">
        <w:rPr>
          <w:rFonts w:asciiTheme="minorHAnsi" w:hAnsiTheme="minorHAnsi"/>
          <w:i/>
          <w:sz w:val="22"/>
          <w:szCs w:val="22"/>
        </w:rPr>
        <w:t xml:space="preserve"> F, </w:t>
      </w:r>
      <w:proofErr w:type="spellStart"/>
      <w:r w:rsidRPr="00DB4D06">
        <w:rPr>
          <w:rFonts w:asciiTheme="minorHAnsi" w:hAnsiTheme="minorHAnsi"/>
          <w:i/>
          <w:sz w:val="22"/>
          <w:szCs w:val="22"/>
        </w:rPr>
        <w:t>Tinkhauser</w:t>
      </w:r>
      <w:proofErr w:type="spellEnd"/>
      <w:r w:rsidRPr="00DB4D06">
        <w:rPr>
          <w:rFonts w:asciiTheme="minorHAnsi" w:hAnsiTheme="minorHAnsi"/>
          <w:i/>
          <w:sz w:val="22"/>
          <w:szCs w:val="22"/>
        </w:rPr>
        <w:t xml:space="preserve"> G, Fischer P, Green AL, Aziz TZ, </w:t>
      </w:r>
      <w:proofErr w:type="spellStart"/>
      <w:r w:rsidRPr="00DB4D06">
        <w:rPr>
          <w:rFonts w:asciiTheme="minorHAnsi" w:hAnsiTheme="minorHAnsi"/>
          <w:i/>
          <w:sz w:val="22"/>
          <w:szCs w:val="22"/>
        </w:rPr>
        <w:t>Foltynie</w:t>
      </w:r>
      <w:proofErr w:type="spellEnd"/>
      <w:r w:rsidRPr="00DB4D06">
        <w:rPr>
          <w:rFonts w:asciiTheme="minorHAnsi" w:hAnsiTheme="minorHAnsi"/>
          <w:i/>
          <w:sz w:val="22"/>
          <w:szCs w:val="22"/>
        </w:rPr>
        <w:t xml:space="preserve"> T, </w:t>
      </w:r>
      <w:proofErr w:type="spellStart"/>
      <w:r w:rsidRPr="00DB4D06">
        <w:rPr>
          <w:rFonts w:asciiTheme="minorHAnsi" w:hAnsiTheme="minorHAnsi"/>
          <w:i/>
          <w:sz w:val="22"/>
          <w:szCs w:val="22"/>
        </w:rPr>
        <w:t>Limousin</w:t>
      </w:r>
      <w:proofErr w:type="spellEnd"/>
      <w:r w:rsidRPr="00DB4D06">
        <w:rPr>
          <w:rFonts w:asciiTheme="minorHAnsi" w:hAnsiTheme="minorHAnsi"/>
          <w:i/>
          <w:sz w:val="22"/>
          <w:szCs w:val="22"/>
        </w:rPr>
        <w:t xml:space="preserve"> P, </w:t>
      </w:r>
      <w:proofErr w:type="spellStart"/>
      <w:r w:rsidRPr="00DB4D06">
        <w:rPr>
          <w:rFonts w:asciiTheme="minorHAnsi" w:hAnsiTheme="minorHAnsi"/>
          <w:i/>
          <w:sz w:val="22"/>
          <w:szCs w:val="22"/>
        </w:rPr>
        <w:t>Zrinzo</w:t>
      </w:r>
      <w:proofErr w:type="spellEnd"/>
      <w:r w:rsidRPr="00DB4D06">
        <w:rPr>
          <w:rFonts w:asciiTheme="minorHAnsi" w:hAnsiTheme="minorHAnsi"/>
          <w:i/>
          <w:sz w:val="22"/>
          <w:szCs w:val="22"/>
        </w:rPr>
        <w:t xml:space="preserve"> L, Ashkan K, Brown P, Tan H (2018) Modulation of beta bursts in the subthalamic nucleus predicts motor performance. J </w:t>
      </w:r>
      <w:proofErr w:type="spellStart"/>
      <w:r w:rsidRPr="00DB4D06">
        <w:rPr>
          <w:rFonts w:asciiTheme="minorHAnsi" w:hAnsiTheme="minorHAnsi"/>
          <w:i/>
          <w:sz w:val="22"/>
          <w:szCs w:val="22"/>
        </w:rPr>
        <w:t>Neurosci</w:t>
      </w:r>
      <w:proofErr w:type="spellEnd"/>
      <w:r w:rsidRPr="00DB4D06">
        <w:rPr>
          <w:rFonts w:asciiTheme="minorHAnsi" w:hAnsiTheme="minorHAnsi"/>
          <w:i/>
          <w:sz w:val="22"/>
          <w:szCs w:val="22"/>
        </w:rPr>
        <w:t xml:space="preserve"> 38:8905-8917.</w:t>
      </w:r>
    </w:p>
    <w:p w14:paraId="55CC124F" w14:textId="77777777" w:rsidR="00884D79" w:rsidRPr="008D12C0" w:rsidRDefault="00884D79" w:rsidP="00FF5ED7">
      <w:pPr>
        <w:rPr>
          <w:rFonts w:asciiTheme="minorHAnsi" w:hAnsiTheme="minorHAnsi"/>
          <w:b/>
          <w:bCs/>
          <w:sz w:val="22"/>
          <w:szCs w:val="22"/>
        </w:rPr>
      </w:pPr>
    </w:p>
    <w:p w14:paraId="12198DAB" w14:textId="77777777" w:rsidR="00884D79" w:rsidRDefault="00884D79" w:rsidP="00FF5ED7">
      <w:pPr>
        <w:rPr>
          <w:rFonts w:asciiTheme="minorHAnsi" w:hAnsiTheme="minorHAnsi"/>
          <w:b/>
          <w:bCs/>
          <w:sz w:val="22"/>
          <w:szCs w:val="22"/>
        </w:rPr>
      </w:pPr>
    </w:p>
    <w:p w14:paraId="6207056E" w14:textId="10E73CF0"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3988B57" w14:textId="47759411" w:rsidR="00D7441B" w:rsidRDefault="00D7441B"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7441B">
        <w:rPr>
          <w:rFonts w:asciiTheme="minorHAnsi" w:hAnsiTheme="minorHAnsi"/>
          <w:sz w:val="22"/>
          <w:szCs w:val="22"/>
        </w:rPr>
        <w:lastRenderedPageBreak/>
        <w:t xml:space="preserve">Our biological replicates, i.e. “parallel measurements of biologically distinct samples that capture random biological variation” as defined by Blainey et al (2014, Nature Methods), are the </w:t>
      </w:r>
      <w:r>
        <w:rPr>
          <w:rFonts w:asciiTheme="minorHAnsi" w:hAnsiTheme="minorHAnsi"/>
          <w:sz w:val="22"/>
          <w:szCs w:val="22"/>
        </w:rPr>
        <w:t xml:space="preserve">21 recorded STN hemispheres </w:t>
      </w:r>
      <w:r w:rsidRPr="00D7441B">
        <w:rPr>
          <w:rFonts w:asciiTheme="minorHAnsi" w:hAnsiTheme="minorHAnsi"/>
          <w:sz w:val="22"/>
          <w:szCs w:val="22"/>
        </w:rPr>
        <w:t>from 12 patients.</w:t>
      </w:r>
    </w:p>
    <w:p w14:paraId="54FF923C" w14:textId="77777777" w:rsidR="00D7441B" w:rsidRPr="00D7441B" w:rsidRDefault="00D7441B"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3E267CAB" w14:textId="3F4251EA" w:rsidR="00D7441B" w:rsidRDefault="00D7441B"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7441B">
        <w:rPr>
          <w:rFonts w:asciiTheme="minorHAnsi" w:hAnsiTheme="minorHAnsi"/>
          <w:sz w:val="22"/>
          <w:szCs w:val="22"/>
        </w:rPr>
        <w:t>The data is described in more detail in the Materials and Methods</w:t>
      </w:r>
      <w:r>
        <w:rPr>
          <w:rFonts w:asciiTheme="minorHAnsi" w:hAnsiTheme="minorHAnsi"/>
          <w:sz w:val="22"/>
          <w:szCs w:val="22"/>
        </w:rPr>
        <w:t xml:space="preserve"> </w:t>
      </w:r>
      <w:r w:rsidRPr="00D7441B">
        <w:rPr>
          <w:rFonts w:asciiTheme="minorHAnsi" w:hAnsiTheme="minorHAnsi"/>
          <w:sz w:val="22"/>
          <w:szCs w:val="22"/>
        </w:rPr>
        <w:t>section</w:t>
      </w:r>
      <w:r w:rsidR="006132B5">
        <w:rPr>
          <w:rFonts w:asciiTheme="minorHAnsi" w:hAnsiTheme="minorHAnsi"/>
          <w:sz w:val="22"/>
          <w:szCs w:val="22"/>
        </w:rPr>
        <w:t>,</w:t>
      </w:r>
      <w:r>
        <w:rPr>
          <w:rFonts w:asciiTheme="minorHAnsi" w:hAnsiTheme="minorHAnsi"/>
          <w:sz w:val="22"/>
          <w:szCs w:val="22"/>
        </w:rPr>
        <w:t xml:space="preserve"> Table I</w:t>
      </w:r>
      <w:r w:rsidR="006132B5">
        <w:rPr>
          <w:rFonts w:asciiTheme="minorHAnsi" w:hAnsiTheme="minorHAnsi"/>
          <w:sz w:val="22"/>
          <w:szCs w:val="22"/>
        </w:rPr>
        <w:t>, and Figure I</w:t>
      </w:r>
      <w:r w:rsidRPr="00D7441B">
        <w:rPr>
          <w:rFonts w:asciiTheme="minorHAnsi" w:hAnsiTheme="minorHAnsi"/>
          <w:sz w:val="22"/>
          <w:szCs w:val="22"/>
        </w:rPr>
        <w:t xml:space="preserve">. </w:t>
      </w:r>
      <w:r w:rsidR="006132B5">
        <w:rPr>
          <w:rFonts w:asciiTheme="minorHAnsi" w:hAnsiTheme="minorHAnsi"/>
          <w:sz w:val="22"/>
          <w:szCs w:val="22"/>
        </w:rPr>
        <w:t>For example:</w:t>
      </w:r>
    </w:p>
    <w:p w14:paraId="6E90041D" w14:textId="60019C0F" w:rsidR="006132B5" w:rsidRDefault="006132B5"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38CCDBFE" w14:textId="565F7E0D" w:rsidR="006132B5" w:rsidRDefault="00DD187D"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B82A33">
        <w:rPr>
          <w:rFonts w:asciiTheme="minorHAnsi" w:hAnsiTheme="minorHAnsi"/>
          <w:b/>
          <w:bCs/>
          <w:sz w:val="22"/>
          <w:szCs w:val="22"/>
        </w:rPr>
        <w:t>453</w:t>
      </w:r>
      <w:r w:rsidRPr="00DD187D">
        <w:rPr>
          <w:rFonts w:asciiTheme="minorHAnsi" w:hAnsiTheme="minorHAnsi"/>
          <w:b/>
          <w:bCs/>
          <w:sz w:val="22"/>
          <w:szCs w:val="22"/>
        </w:rPr>
        <w:t>-</w:t>
      </w:r>
      <w:r w:rsidR="00B82A33">
        <w:rPr>
          <w:rFonts w:asciiTheme="minorHAnsi" w:hAnsiTheme="minorHAnsi"/>
          <w:b/>
          <w:bCs/>
          <w:sz w:val="22"/>
          <w:szCs w:val="22"/>
        </w:rPr>
        <w:t>454</w:t>
      </w:r>
      <w:r w:rsidRPr="00DD187D">
        <w:rPr>
          <w:rFonts w:asciiTheme="minorHAnsi" w:hAnsiTheme="minorHAnsi"/>
          <w:b/>
          <w:bCs/>
          <w:sz w:val="22"/>
          <w:szCs w:val="22"/>
        </w:rPr>
        <w:t>:</w:t>
      </w:r>
      <w:r>
        <w:rPr>
          <w:rFonts w:asciiTheme="minorHAnsi" w:hAnsiTheme="minorHAnsi"/>
          <w:sz w:val="22"/>
          <w:szCs w:val="22"/>
        </w:rPr>
        <w:t xml:space="preserve"> </w:t>
      </w:r>
      <w:r w:rsidR="006132B5" w:rsidRPr="006132B5">
        <w:rPr>
          <w:rFonts w:asciiTheme="minorHAnsi" w:hAnsiTheme="minorHAnsi"/>
          <w:sz w:val="22"/>
          <w:szCs w:val="22"/>
        </w:rPr>
        <w:t>Twelve Parkinsonian patients (4 females), who underwent bilateral implantation of DBS electrodes targeting the motor area of the STN, participated in this study.</w:t>
      </w:r>
    </w:p>
    <w:p w14:paraId="247D92A0" w14:textId="175B26C7" w:rsidR="006132B5" w:rsidRDefault="006132B5"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1EEB7078" w14:textId="571975A1" w:rsidR="006132B5" w:rsidRDefault="00DD187D"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B82A33">
        <w:rPr>
          <w:rFonts w:asciiTheme="minorHAnsi" w:hAnsiTheme="minorHAnsi"/>
          <w:b/>
          <w:bCs/>
          <w:sz w:val="22"/>
          <w:szCs w:val="22"/>
        </w:rPr>
        <w:t>502</w:t>
      </w:r>
      <w:r w:rsidRPr="00DD187D">
        <w:rPr>
          <w:rFonts w:asciiTheme="minorHAnsi" w:hAnsiTheme="minorHAnsi"/>
          <w:b/>
          <w:bCs/>
          <w:sz w:val="22"/>
          <w:szCs w:val="22"/>
        </w:rPr>
        <w:t>-</w:t>
      </w:r>
      <w:r w:rsidR="00B82A33">
        <w:rPr>
          <w:rFonts w:asciiTheme="minorHAnsi" w:hAnsiTheme="minorHAnsi"/>
          <w:b/>
          <w:bCs/>
          <w:sz w:val="22"/>
          <w:szCs w:val="22"/>
        </w:rPr>
        <w:t>503</w:t>
      </w:r>
      <w:r w:rsidRPr="00DD187D">
        <w:rPr>
          <w:rFonts w:asciiTheme="minorHAnsi" w:hAnsiTheme="minorHAnsi"/>
          <w:b/>
          <w:bCs/>
          <w:sz w:val="22"/>
          <w:szCs w:val="22"/>
        </w:rPr>
        <w:t>:</w:t>
      </w:r>
      <w:r>
        <w:rPr>
          <w:rFonts w:asciiTheme="minorHAnsi" w:hAnsiTheme="minorHAnsi"/>
          <w:sz w:val="22"/>
          <w:szCs w:val="22"/>
        </w:rPr>
        <w:t xml:space="preserve"> </w:t>
      </w:r>
      <w:r w:rsidR="006132B5" w:rsidRPr="006132B5">
        <w:rPr>
          <w:rFonts w:asciiTheme="minorHAnsi" w:hAnsiTheme="minorHAnsi"/>
          <w:sz w:val="22"/>
          <w:szCs w:val="22"/>
        </w:rPr>
        <w:t>Each experimental session consisted of 30 seconds of rest, a block of 10 trials in the ‘Training’ condition and a block of 10 trials in the ‘No Training’ condition (Fig. 1B).</w:t>
      </w:r>
    </w:p>
    <w:p w14:paraId="3C9FF833" w14:textId="3320F912" w:rsidR="006132B5" w:rsidRDefault="006132B5"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12FFE462" w14:textId="104D4513" w:rsidR="006132B5" w:rsidRDefault="00DD187D"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B82A33">
        <w:rPr>
          <w:rFonts w:asciiTheme="minorHAnsi" w:hAnsiTheme="minorHAnsi"/>
          <w:b/>
          <w:bCs/>
          <w:sz w:val="22"/>
          <w:szCs w:val="22"/>
        </w:rPr>
        <w:t>510</w:t>
      </w:r>
      <w:r w:rsidRPr="00DD187D">
        <w:rPr>
          <w:rFonts w:asciiTheme="minorHAnsi" w:hAnsiTheme="minorHAnsi"/>
          <w:b/>
          <w:bCs/>
          <w:sz w:val="22"/>
          <w:szCs w:val="22"/>
        </w:rPr>
        <w:t>-</w:t>
      </w:r>
      <w:r w:rsidR="00B82A33">
        <w:rPr>
          <w:rFonts w:asciiTheme="minorHAnsi" w:hAnsiTheme="minorHAnsi"/>
          <w:b/>
          <w:bCs/>
          <w:sz w:val="22"/>
          <w:szCs w:val="22"/>
        </w:rPr>
        <w:t>513</w:t>
      </w:r>
      <w:r w:rsidRPr="00DD187D">
        <w:rPr>
          <w:rFonts w:asciiTheme="minorHAnsi" w:hAnsiTheme="minorHAnsi"/>
          <w:b/>
          <w:bCs/>
          <w:sz w:val="22"/>
          <w:szCs w:val="22"/>
        </w:rPr>
        <w:t>:</w:t>
      </w:r>
      <w:r>
        <w:rPr>
          <w:rFonts w:asciiTheme="minorHAnsi" w:hAnsiTheme="minorHAnsi"/>
          <w:sz w:val="22"/>
          <w:szCs w:val="22"/>
        </w:rPr>
        <w:t xml:space="preserve"> </w:t>
      </w:r>
      <w:r w:rsidR="006132B5" w:rsidRPr="006132B5">
        <w:rPr>
          <w:rFonts w:asciiTheme="minorHAnsi" w:hAnsiTheme="minorHAnsi"/>
          <w:sz w:val="22"/>
          <w:szCs w:val="22"/>
        </w:rPr>
        <w:t>Nine out of 12 participants completed 4 sessions of the task separately with both hemispheres and contralateral arms, and the other three participants only completed the task with the dominant hand for the motor task and the contralateral STN.</w:t>
      </w:r>
      <w:r w:rsidR="006132B5">
        <w:rPr>
          <w:rFonts w:asciiTheme="minorHAnsi" w:hAnsiTheme="minorHAnsi"/>
          <w:sz w:val="22"/>
          <w:szCs w:val="22"/>
        </w:rPr>
        <w:t xml:space="preserve"> </w:t>
      </w:r>
      <w:r w:rsidR="00813104" w:rsidRPr="00813104">
        <w:rPr>
          <w:rFonts w:asciiTheme="minorHAnsi" w:hAnsiTheme="minorHAnsi"/>
          <w:sz w:val="22"/>
          <w:szCs w:val="22"/>
        </w:rPr>
        <w:t>All trials were visually inspected and those with obvious movement during the neurofeedback phase were excluded.</w:t>
      </w:r>
    </w:p>
    <w:p w14:paraId="77DF65BF" w14:textId="504F4B91" w:rsidR="00694A74" w:rsidRDefault="00694A74"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0D12EB32" w14:textId="600B27C8" w:rsidR="00694A74" w:rsidRPr="00694A74" w:rsidRDefault="00694A74"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B82A33">
        <w:rPr>
          <w:rFonts w:asciiTheme="minorHAnsi" w:hAnsiTheme="minorHAnsi"/>
          <w:b/>
          <w:bCs/>
          <w:sz w:val="22"/>
          <w:szCs w:val="22"/>
        </w:rPr>
        <w:t>515</w:t>
      </w:r>
      <w:r w:rsidRPr="00DD187D">
        <w:rPr>
          <w:rFonts w:asciiTheme="minorHAnsi" w:hAnsiTheme="minorHAnsi"/>
          <w:b/>
          <w:bCs/>
          <w:sz w:val="22"/>
          <w:szCs w:val="22"/>
        </w:rPr>
        <w:t>-</w:t>
      </w:r>
      <w:r w:rsidR="00B82A33">
        <w:rPr>
          <w:rFonts w:asciiTheme="minorHAnsi" w:hAnsiTheme="minorHAnsi"/>
          <w:b/>
          <w:bCs/>
          <w:sz w:val="22"/>
          <w:szCs w:val="22"/>
        </w:rPr>
        <w:t>516</w:t>
      </w:r>
      <w:r w:rsidRPr="00DD187D">
        <w:rPr>
          <w:rFonts w:asciiTheme="minorHAnsi" w:hAnsiTheme="minorHAnsi"/>
          <w:b/>
          <w:bCs/>
          <w:sz w:val="22"/>
          <w:szCs w:val="22"/>
        </w:rPr>
        <w:t>:</w:t>
      </w:r>
      <w:r>
        <w:rPr>
          <w:rFonts w:asciiTheme="minorHAnsi" w:hAnsiTheme="minorHAnsi"/>
          <w:sz w:val="22"/>
          <w:szCs w:val="22"/>
        </w:rPr>
        <w:t xml:space="preserve"> </w:t>
      </w:r>
      <w:r w:rsidRPr="00694A74">
        <w:rPr>
          <w:rFonts w:asciiTheme="minorHAnsi" w:hAnsiTheme="minorHAnsi"/>
          <w:sz w:val="22"/>
          <w:szCs w:val="22"/>
        </w:rPr>
        <w:t xml:space="preserve">Four patients repeated the same task over two consecutive days with both hemispheres, which allowed us to investigate overnight learning effects. </w:t>
      </w:r>
    </w:p>
    <w:p w14:paraId="79C72B58" w14:textId="29D60F66" w:rsidR="006132B5" w:rsidRDefault="006132B5"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141984D0" w14:textId="5DAD02BB" w:rsidR="006132B5" w:rsidRDefault="00DD187D"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B82A33">
        <w:rPr>
          <w:rFonts w:asciiTheme="minorHAnsi" w:hAnsiTheme="minorHAnsi"/>
          <w:b/>
          <w:bCs/>
          <w:sz w:val="22"/>
          <w:szCs w:val="22"/>
        </w:rPr>
        <w:t>602</w:t>
      </w:r>
      <w:r w:rsidRPr="00DD187D">
        <w:rPr>
          <w:rFonts w:asciiTheme="minorHAnsi" w:hAnsiTheme="minorHAnsi"/>
          <w:b/>
          <w:bCs/>
          <w:sz w:val="22"/>
          <w:szCs w:val="22"/>
        </w:rPr>
        <w:t>-</w:t>
      </w:r>
      <w:r w:rsidR="00B82A33">
        <w:rPr>
          <w:rFonts w:asciiTheme="minorHAnsi" w:hAnsiTheme="minorHAnsi"/>
          <w:b/>
          <w:bCs/>
          <w:sz w:val="22"/>
          <w:szCs w:val="22"/>
        </w:rPr>
        <w:t>604</w:t>
      </w:r>
      <w:r w:rsidRPr="00DD187D">
        <w:rPr>
          <w:rFonts w:asciiTheme="minorHAnsi" w:hAnsiTheme="minorHAnsi"/>
          <w:b/>
          <w:bCs/>
          <w:sz w:val="22"/>
          <w:szCs w:val="22"/>
        </w:rPr>
        <w:t>:</w:t>
      </w:r>
      <w:r>
        <w:rPr>
          <w:rFonts w:asciiTheme="minorHAnsi" w:hAnsiTheme="minorHAnsi"/>
          <w:sz w:val="22"/>
          <w:szCs w:val="22"/>
        </w:rPr>
        <w:t xml:space="preserve"> </w:t>
      </w:r>
      <w:r w:rsidR="006132B5" w:rsidRPr="006132B5">
        <w:rPr>
          <w:rFonts w:asciiTheme="minorHAnsi" w:hAnsiTheme="minorHAnsi"/>
          <w:sz w:val="22"/>
          <w:szCs w:val="22"/>
        </w:rPr>
        <w:t>Force measurements from individual trials were visually inspected; those trials with obvious artefacts, failed to pinch within 2 seconds after the Go-cue, or with a reaction time smaller than 0.2 s were excluded.</w:t>
      </w:r>
    </w:p>
    <w:p w14:paraId="19B9FF9B" w14:textId="77777777" w:rsidR="006132B5" w:rsidRPr="00D7441B" w:rsidRDefault="006132B5" w:rsidP="00D7441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78102952" w14:textId="48817B11" w:rsidR="00B330BD" w:rsidRPr="006132B5" w:rsidRDefault="00DD187D" w:rsidP="006132B5">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B82A33">
        <w:rPr>
          <w:rFonts w:asciiTheme="minorHAnsi" w:hAnsiTheme="minorHAnsi"/>
          <w:b/>
          <w:bCs/>
          <w:sz w:val="22"/>
          <w:szCs w:val="22"/>
        </w:rPr>
        <w:t>604</w:t>
      </w:r>
      <w:r w:rsidRPr="00DD187D">
        <w:rPr>
          <w:rFonts w:asciiTheme="minorHAnsi" w:hAnsiTheme="minorHAnsi"/>
          <w:b/>
          <w:bCs/>
          <w:sz w:val="22"/>
          <w:szCs w:val="22"/>
        </w:rPr>
        <w:t>-</w:t>
      </w:r>
      <w:r w:rsidR="00B82A33">
        <w:rPr>
          <w:rFonts w:asciiTheme="minorHAnsi" w:hAnsiTheme="minorHAnsi"/>
          <w:b/>
          <w:bCs/>
          <w:sz w:val="22"/>
          <w:szCs w:val="22"/>
        </w:rPr>
        <w:t>607</w:t>
      </w:r>
      <w:r w:rsidRPr="00DD187D">
        <w:rPr>
          <w:rFonts w:asciiTheme="minorHAnsi" w:hAnsiTheme="minorHAnsi"/>
          <w:b/>
          <w:bCs/>
          <w:sz w:val="22"/>
          <w:szCs w:val="22"/>
        </w:rPr>
        <w:t>:</w:t>
      </w:r>
      <w:r>
        <w:rPr>
          <w:rFonts w:asciiTheme="minorHAnsi" w:hAnsiTheme="minorHAnsi"/>
          <w:sz w:val="22"/>
          <w:szCs w:val="22"/>
        </w:rPr>
        <w:t xml:space="preserve"> </w:t>
      </w:r>
      <w:r w:rsidR="006132B5" w:rsidRPr="006132B5">
        <w:rPr>
          <w:rFonts w:asciiTheme="minorHAnsi" w:hAnsiTheme="minorHAnsi"/>
          <w:sz w:val="22"/>
          <w:szCs w:val="22"/>
        </w:rPr>
        <w:t>Thus, for each of the 21 STN hemispheres we analysed 44.38 ± 3.88 (mean ± SEM) and 44.57 ± 3.84 trials in the ‘Training’ and ‘No Training’ conditions, respectively, resulting in 1868 trials in total across all tested hemispheres.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614D6089" w14:textId="7C3F871C" w:rsidR="0015519A" w:rsidRDefault="002A22B2"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B82A33">
        <w:rPr>
          <w:rFonts w:asciiTheme="minorHAnsi" w:hAnsiTheme="minorHAnsi"/>
          <w:b/>
          <w:bCs/>
          <w:sz w:val="22"/>
          <w:szCs w:val="22"/>
        </w:rPr>
        <w:t>662</w:t>
      </w:r>
      <w:r w:rsidRPr="00DD187D">
        <w:rPr>
          <w:rFonts w:asciiTheme="minorHAnsi" w:hAnsiTheme="minorHAnsi"/>
          <w:b/>
          <w:bCs/>
          <w:sz w:val="22"/>
          <w:szCs w:val="22"/>
        </w:rPr>
        <w:t>-</w:t>
      </w:r>
      <w:r w:rsidR="00B82A33">
        <w:rPr>
          <w:rFonts w:asciiTheme="minorHAnsi" w:hAnsiTheme="minorHAnsi"/>
          <w:b/>
          <w:bCs/>
          <w:sz w:val="22"/>
          <w:szCs w:val="22"/>
        </w:rPr>
        <w:t>667</w:t>
      </w:r>
      <w:r w:rsidRPr="00DD187D">
        <w:rPr>
          <w:rFonts w:asciiTheme="minorHAnsi" w:hAnsiTheme="minorHAnsi"/>
          <w:b/>
          <w:bCs/>
          <w:sz w:val="22"/>
          <w:szCs w:val="22"/>
        </w:rPr>
        <w:t>:</w:t>
      </w:r>
      <w:r>
        <w:rPr>
          <w:rFonts w:asciiTheme="minorHAnsi" w:hAnsiTheme="minorHAnsi"/>
          <w:sz w:val="22"/>
          <w:szCs w:val="22"/>
        </w:rPr>
        <w:t xml:space="preserve"> </w:t>
      </w:r>
      <w:r w:rsidRPr="002A22B2">
        <w:rPr>
          <w:rFonts w:asciiTheme="minorHAnsi" w:hAnsiTheme="minorHAnsi"/>
          <w:sz w:val="22"/>
          <w:szCs w:val="22"/>
        </w:rPr>
        <w:t xml:space="preserve">Paired t tests (Matlab function </w:t>
      </w:r>
      <w:proofErr w:type="spellStart"/>
      <w:r w:rsidRPr="00DD187D">
        <w:rPr>
          <w:rFonts w:asciiTheme="minorHAnsi" w:hAnsiTheme="minorHAnsi"/>
          <w:i/>
          <w:iCs/>
          <w:sz w:val="22"/>
          <w:szCs w:val="22"/>
        </w:rPr>
        <w:t>ttest</w:t>
      </w:r>
      <w:proofErr w:type="spellEnd"/>
      <w:r w:rsidRPr="002A22B2">
        <w:rPr>
          <w:rFonts w:asciiTheme="minorHAnsi" w:hAnsiTheme="minorHAnsi"/>
          <w:sz w:val="22"/>
          <w:szCs w:val="22"/>
        </w:rPr>
        <w:t xml:space="preserve">) or nonparametric Wilcoxon signed-rank test (Matlab function </w:t>
      </w:r>
      <w:proofErr w:type="spellStart"/>
      <w:r w:rsidRPr="00DD187D">
        <w:rPr>
          <w:rFonts w:asciiTheme="minorHAnsi" w:hAnsiTheme="minorHAnsi"/>
          <w:i/>
          <w:iCs/>
          <w:sz w:val="22"/>
          <w:szCs w:val="22"/>
        </w:rPr>
        <w:t>signrank</w:t>
      </w:r>
      <w:proofErr w:type="spellEnd"/>
      <w:r w:rsidRPr="002A22B2">
        <w:rPr>
          <w:rFonts w:asciiTheme="minorHAnsi" w:hAnsiTheme="minorHAnsi"/>
          <w:sz w:val="22"/>
          <w:szCs w:val="22"/>
        </w:rPr>
        <w:t>), depending on whether the normal distribution assumption was satisfied, were used to evaluate the effect of the experimental condition (‘Training’ and ‘No Training’) on neurofeedback task performance, the motor task reaction time, tremor sever</w:t>
      </w:r>
      <w:r w:rsidRPr="002A22B2">
        <w:rPr>
          <w:rFonts w:asciiTheme="minorHAnsi" w:hAnsiTheme="minorHAnsi" w:hint="eastAsia"/>
          <w:sz w:val="22"/>
          <w:szCs w:val="22"/>
        </w:rPr>
        <w:t>it</w:t>
      </w:r>
      <w:r w:rsidRPr="002A22B2">
        <w:rPr>
          <w:rFonts w:asciiTheme="minorHAnsi" w:hAnsiTheme="minorHAnsi"/>
          <w:sz w:val="22"/>
          <w:szCs w:val="22"/>
        </w:rPr>
        <w:t xml:space="preserve">y, and neural activities measured in STN LFPs and EEGs. The normal distribution assumption was tested using Anderson-Darling test (Matlab function </w:t>
      </w:r>
      <w:proofErr w:type="spellStart"/>
      <w:r w:rsidRPr="00DD187D">
        <w:rPr>
          <w:rFonts w:asciiTheme="minorHAnsi" w:hAnsiTheme="minorHAnsi"/>
          <w:i/>
          <w:iCs/>
          <w:sz w:val="22"/>
          <w:szCs w:val="22"/>
        </w:rPr>
        <w:t>adtest</w:t>
      </w:r>
      <w:proofErr w:type="spellEnd"/>
      <w:r w:rsidRPr="002A22B2">
        <w:rPr>
          <w:rFonts w:asciiTheme="minorHAnsi" w:hAnsiTheme="minorHAnsi"/>
          <w:sz w:val="22"/>
          <w:szCs w:val="22"/>
        </w:rPr>
        <w:t>) (Anderson and Darling, 1952).</w:t>
      </w:r>
    </w:p>
    <w:p w14:paraId="2655C2CC" w14:textId="431EC8A7" w:rsidR="002A22B2" w:rsidRDefault="002A22B2"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6BF07C0C" w14:textId="07E7A7B5" w:rsidR="002A22B2" w:rsidRPr="002A22B2" w:rsidRDefault="002A22B2"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B82A33">
        <w:rPr>
          <w:rFonts w:asciiTheme="minorHAnsi" w:hAnsiTheme="minorHAnsi"/>
          <w:b/>
          <w:bCs/>
          <w:sz w:val="22"/>
          <w:szCs w:val="22"/>
        </w:rPr>
        <w:t>66</w:t>
      </w:r>
      <w:r w:rsidR="00214C41">
        <w:rPr>
          <w:rFonts w:asciiTheme="minorHAnsi" w:hAnsiTheme="minorHAnsi"/>
          <w:b/>
          <w:bCs/>
          <w:sz w:val="22"/>
          <w:szCs w:val="22"/>
        </w:rPr>
        <w:t>7</w:t>
      </w:r>
      <w:r w:rsidRPr="00DD187D">
        <w:rPr>
          <w:rFonts w:asciiTheme="minorHAnsi" w:hAnsiTheme="minorHAnsi"/>
          <w:b/>
          <w:bCs/>
          <w:sz w:val="22"/>
          <w:szCs w:val="22"/>
        </w:rPr>
        <w:t>-</w:t>
      </w:r>
      <w:r w:rsidR="00B82A33">
        <w:rPr>
          <w:rFonts w:asciiTheme="minorHAnsi" w:hAnsiTheme="minorHAnsi"/>
          <w:b/>
          <w:bCs/>
          <w:sz w:val="22"/>
          <w:szCs w:val="22"/>
        </w:rPr>
        <w:t>66</w:t>
      </w:r>
      <w:r w:rsidR="00214C41">
        <w:rPr>
          <w:rFonts w:asciiTheme="minorHAnsi" w:hAnsiTheme="minorHAnsi"/>
          <w:b/>
          <w:bCs/>
          <w:sz w:val="22"/>
          <w:szCs w:val="22"/>
        </w:rPr>
        <w:t>8</w:t>
      </w:r>
      <w:r w:rsidRPr="00DD187D">
        <w:rPr>
          <w:rFonts w:asciiTheme="minorHAnsi" w:hAnsiTheme="minorHAnsi"/>
          <w:b/>
          <w:bCs/>
          <w:sz w:val="22"/>
          <w:szCs w:val="22"/>
        </w:rPr>
        <w:t>:</w:t>
      </w:r>
      <w:r>
        <w:rPr>
          <w:rFonts w:asciiTheme="minorHAnsi" w:hAnsiTheme="minorHAnsi"/>
          <w:sz w:val="22"/>
          <w:szCs w:val="22"/>
        </w:rPr>
        <w:t xml:space="preserve"> </w:t>
      </w:r>
      <w:r w:rsidRPr="002A22B2">
        <w:rPr>
          <w:rFonts w:asciiTheme="minorHAnsi" w:hAnsiTheme="minorHAnsi"/>
          <w:sz w:val="22"/>
          <w:szCs w:val="22"/>
        </w:rPr>
        <w:t>Multiple comparisons applied to different measurements were corrected using Bonferroni correction.</w:t>
      </w:r>
    </w:p>
    <w:p w14:paraId="0F047F85" w14:textId="408F1D1D" w:rsidR="002A22B2" w:rsidRDefault="002A22B2"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lang w:val="en-US"/>
        </w:rPr>
      </w:pPr>
    </w:p>
    <w:p w14:paraId="7925A833" w14:textId="79CF0719" w:rsidR="00DD187D" w:rsidRDefault="00DD187D" w:rsidP="00DD187D">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For each key comparison, t-values (z-values) and p-values were reported in the main text as well as in the figures.</w:t>
      </w:r>
    </w:p>
    <w:p w14:paraId="7E62B661" w14:textId="7EE249D0" w:rsidR="002A22B2" w:rsidRDefault="002A22B2"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4A36AA78" w14:textId="7444CEF5" w:rsidR="002A22B2" w:rsidRDefault="00DD187D"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B82A33">
        <w:rPr>
          <w:rFonts w:asciiTheme="minorHAnsi" w:hAnsiTheme="minorHAnsi"/>
          <w:b/>
          <w:bCs/>
          <w:sz w:val="22"/>
          <w:szCs w:val="22"/>
        </w:rPr>
        <w:t>647</w:t>
      </w:r>
      <w:r w:rsidRPr="00DD187D">
        <w:rPr>
          <w:rFonts w:asciiTheme="minorHAnsi" w:hAnsiTheme="minorHAnsi"/>
          <w:b/>
          <w:bCs/>
          <w:sz w:val="22"/>
          <w:szCs w:val="22"/>
        </w:rPr>
        <w:t>-</w:t>
      </w:r>
      <w:r w:rsidR="00B82A33">
        <w:rPr>
          <w:rFonts w:asciiTheme="minorHAnsi" w:hAnsiTheme="minorHAnsi"/>
          <w:b/>
          <w:bCs/>
          <w:sz w:val="22"/>
          <w:szCs w:val="22"/>
        </w:rPr>
        <w:t>649</w:t>
      </w:r>
      <w:r w:rsidRPr="00DD187D">
        <w:rPr>
          <w:rFonts w:asciiTheme="minorHAnsi" w:hAnsiTheme="minorHAnsi"/>
          <w:b/>
          <w:bCs/>
          <w:sz w:val="22"/>
          <w:szCs w:val="22"/>
        </w:rPr>
        <w:t>:</w:t>
      </w:r>
      <w:r>
        <w:rPr>
          <w:rFonts w:asciiTheme="minorHAnsi" w:hAnsiTheme="minorHAnsi"/>
          <w:sz w:val="22"/>
          <w:szCs w:val="22"/>
        </w:rPr>
        <w:t xml:space="preserve"> </w:t>
      </w:r>
      <w:r w:rsidR="00B82A33" w:rsidRPr="00B82A33">
        <w:rPr>
          <w:rFonts w:asciiTheme="minorHAnsi" w:hAnsiTheme="minorHAnsi"/>
          <w:sz w:val="22"/>
          <w:szCs w:val="22"/>
        </w:rPr>
        <w:t xml:space="preserve">Generalised linear mixed effects modelling (GLME, Matlab function </w:t>
      </w:r>
      <w:proofErr w:type="spellStart"/>
      <w:r w:rsidR="00B82A33" w:rsidRPr="00B82A33">
        <w:rPr>
          <w:rFonts w:asciiTheme="minorHAnsi" w:hAnsiTheme="minorHAnsi"/>
          <w:i/>
          <w:iCs/>
          <w:sz w:val="22"/>
          <w:szCs w:val="22"/>
        </w:rPr>
        <w:t>fitglme</w:t>
      </w:r>
      <w:proofErr w:type="spellEnd"/>
      <w:r w:rsidR="00B82A33" w:rsidRPr="00B82A33">
        <w:rPr>
          <w:rFonts w:asciiTheme="minorHAnsi" w:hAnsiTheme="minorHAnsi"/>
          <w:sz w:val="22"/>
          <w:szCs w:val="22"/>
        </w:rPr>
        <w:t>) was used to assess the trial-to-trial within subject relationship between different measurements, and how they were changed by neurofeedback training.</w:t>
      </w:r>
      <w:r w:rsidR="00B82A33">
        <w:t xml:space="preserve"> </w:t>
      </w:r>
    </w:p>
    <w:p w14:paraId="333F6109" w14:textId="16895F0C" w:rsidR="002A22B2" w:rsidRDefault="002A22B2"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2F100CBA" w14:textId="605E6B8F" w:rsidR="00DD187D" w:rsidRDefault="00DD187D"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B82A33">
        <w:rPr>
          <w:rFonts w:asciiTheme="minorHAnsi" w:hAnsiTheme="minorHAnsi"/>
          <w:b/>
          <w:bCs/>
          <w:sz w:val="22"/>
          <w:szCs w:val="22"/>
        </w:rPr>
        <w:t>649</w:t>
      </w:r>
      <w:r w:rsidRPr="00DD187D">
        <w:rPr>
          <w:rFonts w:asciiTheme="minorHAnsi" w:hAnsiTheme="minorHAnsi"/>
          <w:b/>
          <w:bCs/>
          <w:sz w:val="22"/>
          <w:szCs w:val="22"/>
        </w:rPr>
        <w:t>-</w:t>
      </w:r>
      <w:r w:rsidR="00B82A33">
        <w:rPr>
          <w:rFonts w:asciiTheme="minorHAnsi" w:hAnsiTheme="minorHAnsi"/>
          <w:b/>
          <w:bCs/>
          <w:sz w:val="22"/>
          <w:szCs w:val="22"/>
        </w:rPr>
        <w:t>654</w:t>
      </w:r>
      <w:r w:rsidRPr="00DD187D">
        <w:rPr>
          <w:rFonts w:asciiTheme="minorHAnsi" w:hAnsiTheme="minorHAnsi"/>
          <w:b/>
          <w:bCs/>
          <w:sz w:val="22"/>
          <w:szCs w:val="22"/>
        </w:rPr>
        <w:t>:</w:t>
      </w:r>
      <w:r>
        <w:rPr>
          <w:rFonts w:asciiTheme="minorHAnsi" w:hAnsiTheme="minorHAnsi"/>
          <w:sz w:val="22"/>
          <w:szCs w:val="22"/>
        </w:rPr>
        <w:t xml:space="preserve"> </w:t>
      </w:r>
      <w:r w:rsidR="00B82A33" w:rsidRPr="00B82A33">
        <w:rPr>
          <w:rFonts w:asciiTheme="minorHAnsi" w:hAnsiTheme="minorHAnsi"/>
          <w:sz w:val="22"/>
          <w:szCs w:val="22"/>
        </w:rPr>
        <w:t>Apart from transforming the dependent variable to eliminate the deviation from normality distribution, GLME also allows researchers to select a theoretical distribution that matches the properties of the dependent variable (Lo and Andrews, 2015). For example, the measured RT is skewed and closer to an Inverse Gaussian distribution instead of a normal Gaussian distribution, thus an Inverse Gaussian distribution was selected in the models using RT as dependent variable.</w:t>
      </w:r>
      <w:r w:rsidR="00B82A33">
        <w:t xml:space="preserve"> </w:t>
      </w:r>
    </w:p>
    <w:p w14:paraId="6E6DA1BA" w14:textId="63A2F694" w:rsidR="002A22B2" w:rsidRDefault="002A22B2"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7DDA8A77" w14:textId="09E986B2" w:rsidR="00DD187D" w:rsidRDefault="00DD187D"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sidR="008E3EF5">
        <w:rPr>
          <w:rFonts w:asciiTheme="minorHAnsi" w:hAnsiTheme="minorHAnsi"/>
          <w:b/>
          <w:bCs/>
          <w:sz w:val="22"/>
          <w:szCs w:val="22"/>
        </w:rPr>
        <w:t>654</w:t>
      </w:r>
      <w:r w:rsidRPr="00DD187D">
        <w:rPr>
          <w:rFonts w:asciiTheme="minorHAnsi" w:hAnsiTheme="minorHAnsi"/>
          <w:b/>
          <w:bCs/>
          <w:sz w:val="22"/>
          <w:szCs w:val="22"/>
        </w:rPr>
        <w:t>-</w:t>
      </w:r>
      <w:r w:rsidR="008E3EF5">
        <w:rPr>
          <w:rFonts w:asciiTheme="minorHAnsi" w:hAnsiTheme="minorHAnsi"/>
          <w:b/>
          <w:bCs/>
          <w:sz w:val="22"/>
          <w:szCs w:val="22"/>
        </w:rPr>
        <w:t>658</w:t>
      </w:r>
      <w:r w:rsidRPr="00DD187D">
        <w:rPr>
          <w:rFonts w:asciiTheme="minorHAnsi" w:hAnsiTheme="minorHAnsi"/>
          <w:b/>
          <w:bCs/>
          <w:sz w:val="22"/>
          <w:szCs w:val="22"/>
        </w:rPr>
        <w:t>:</w:t>
      </w:r>
      <w:r>
        <w:rPr>
          <w:rFonts w:asciiTheme="minorHAnsi" w:hAnsiTheme="minorHAnsi"/>
          <w:sz w:val="22"/>
          <w:szCs w:val="22"/>
        </w:rPr>
        <w:t xml:space="preserve"> </w:t>
      </w:r>
      <w:r w:rsidR="008E3EF5" w:rsidRPr="008E3EF5">
        <w:rPr>
          <w:rFonts w:asciiTheme="minorHAnsi" w:hAnsiTheme="minorHAnsi"/>
          <w:sz w:val="22"/>
          <w:szCs w:val="22"/>
        </w:rPr>
        <w:t>When applying GLME modelling, data from all valid individual trials from all tested hemispheres were considered, and the average power (10log10 transferred to dB) were used when applicable. The slope(s) between the predictor(s) and the dependent variable were set to be fixed across all hemispheres; a random intercept was set to vary by hemisphere.</w:t>
      </w:r>
      <w:r w:rsidR="008E3EF5" w:rsidRPr="00DD187D">
        <w:rPr>
          <w:rFonts w:asciiTheme="minorHAnsi" w:hAnsiTheme="minorHAnsi"/>
          <w:sz w:val="22"/>
          <w:szCs w:val="22"/>
        </w:rPr>
        <w:t xml:space="preserve"> </w:t>
      </w:r>
    </w:p>
    <w:p w14:paraId="4A865613" w14:textId="1EA1050D" w:rsidR="00DD187D" w:rsidRDefault="00DD187D"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6C8B30B2" w14:textId="59E8EA7E" w:rsidR="00DD187D" w:rsidRDefault="008E3EF5" w:rsidP="00DD187D">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D187D">
        <w:rPr>
          <w:rFonts w:asciiTheme="minorHAnsi" w:hAnsiTheme="minorHAnsi"/>
          <w:b/>
          <w:bCs/>
          <w:sz w:val="22"/>
          <w:szCs w:val="22"/>
        </w:rPr>
        <w:t>L</w:t>
      </w:r>
      <w:r>
        <w:rPr>
          <w:rFonts w:asciiTheme="minorHAnsi" w:hAnsiTheme="minorHAnsi"/>
          <w:b/>
          <w:bCs/>
          <w:sz w:val="22"/>
          <w:szCs w:val="22"/>
        </w:rPr>
        <w:t>6</w:t>
      </w:r>
      <w:r>
        <w:rPr>
          <w:rFonts w:asciiTheme="minorHAnsi" w:hAnsiTheme="minorHAnsi"/>
          <w:b/>
          <w:bCs/>
          <w:sz w:val="22"/>
          <w:szCs w:val="22"/>
        </w:rPr>
        <w:t>70</w:t>
      </w:r>
      <w:r w:rsidRPr="00DD187D">
        <w:rPr>
          <w:rFonts w:asciiTheme="minorHAnsi" w:hAnsiTheme="minorHAnsi"/>
          <w:b/>
          <w:bCs/>
          <w:sz w:val="22"/>
          <w:szCs w:val="22"/>
        </w:rPr>
        <w:t>-</w:t>
      </w:r>
      <w:r>
        <w:rPr>
          <w:rFonts w:asciiTheme="minorHAnsi" w:hAnsiTheme="minorHAnsi"/>
          <w:b/>
          <w:bCs/>
          <w:sz w:val="22"/>
          <w:szCs w:val="22"/>
        </w:rPr>
        <w:t>6</w:t>
      </w:r>
      <w:r>
        <w:rPr>
          <w:rFonts w:asciiTheme="minorHAnsi" w:hAnsiTheme="minorHAnsi"/>
          <w:b/>
          <w:bCs/>
          <w:sz w:val="22"/>
          <w:szCs w:val="22"/>
        </w:rPr>
        <w:t>72</w:t>
      </w:r>
      <w:r w:rsidRPr="00DD187D">
        <w:rPr>
          <w:rFonts w:asciiTheme="minorHAnsi" w:hAnsiTheme="minorHAnsi"/>
          <w:b/>
          <w:bCs/>
          <w:sz w:val="22"/>
          <w:szCs w:val="22"/>
        </w:rPr>
        <w:t>:</w:t>
      </w:r>
      <w:r>
        <w:rPr>
          <w:rFonts w:asciiTheme="minorHAnsi" w:hAnsiTheme="minorHAnsi"/>
          <w:sz w:val="22"/>
          <w:szCs w:val="22"/>
        </w:rPr>
        <w:t xml:space="preserve"> </w:t>
      </w:r>
      <w:r w:rsidRPr="008E3EF5">
        <w:rPr>
          <w:rFonts w:asciiTheme="minorHAnsi" w:hAnsiTheme="minorHAnsi"/>
          <w:sz w:val="22"/>
          <w:szCs w:val="22"/>
        </w:rPr>
        <w:t>When GLME modelling was used, the estimated fixed effect coefficient (</w:t>
      </w:r>
      <w:r w:rsidRPr="008E3EF5">
        <w:rPr>
          <w:rFonts w:asciiTheme="minorHAnsi" w:hAnsiTheme="minorHAnsi"/>
          <w:i/>
          <w:iCs/>
          <w:sz w:val="22"/>
          <w:szCs w:val="22"/>
        </w:rPr>
        <w:t>k</w:t>
      </w:r>
      <w:r w:rsidRPr="008E3EF5">
        <w:rPr>
          <w:rFonts w:asciiTheme="minorHAnsi" w:hAnsiTheme="minorHAnsi"/>
          <w:sz w:val="22"/>
          <w:szCs w:val="22"/>
        </w:rPr>
        <w:t xml:space="preserve">), which indicates the potential positive or negative correlation between the predictor and the dependent variable, the corresponding t-statistic </w:t>
      </w:r>
      <w:r w:rsidRPr="008E3EF5">
        <w:rPr>
          <w:rFonts w:asciiTheme="minorHAnsi" w:hAnsiTheme="minorHAnsi"/>
          <w:i/>
          <w:iCs/>
          <w:sz w:val="22"/>
          <w:szCs w:val="22"/>
        </w:rPr>
        <w:t>p</w:t>
      </w:r>
      <w:r w:rsidRPr="008E3EF5">
        <w:rPr>
          <w:rFonts w:asciiTheme="minorHAnsi" w:hAnsiTheme="minorHAnsi"/>
          <w:sz w:val="22"/>
          <w:szCs w:val="22"/>
        </w:rPr>
        <w:t>-value, and R</w:t>
      </w:r>
      <w:r w:rsidRPr="008E3EF5">
        <w:rPr>
          <w:rFonts w:asciiTheme="minorHAnsi" w:hAnsiTheme="minorHAnsi"/>
          <w:sz w:val="22"/>
          <w:szCs w:val="22"/>
          <w:vertAlign w:val="superscript"/>
        </w:rPr>
        <w:t>2</w:t>
      </w:r>
      <w:r w:rsidRPr="008E3EF5">
        <w:rPr>
          <w:rFonts w:asciiTheme="minorHAnsi" w:hAnsiTheme="minorHAnsi"/>
          <w:sz w:val="22"/>
          <w:szCs w:val="22"/>
        </w:rPr>
        <w:t xml:space="preserve"> were reported</w:t>
      </w:r>
      <w:r>
        <w:rPr>
          <w:rFonts w:asciiTheme="minorHAnsi" w:hAnsiTheme="minorHAnsi"/>
          <w:sz w:val="22"/>
          <w:szCs w:val="22"/>
        </w:rPr>
        <w:t>.</w:t>
      </w:r>
    </w:p>
    <w:p w14:paraId="224B77A6" w14:textId="77777777" w:rsidR="00DD187D" w:rsidRPr="00505C51" w:rsidRDefault="00DD187D" w:rsidP="002A22B2">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lastRenderedPageBreak/>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E43B251" w14:textId="47B0B8EA" w:rsidR="00861AB6" w:rsidRDefault="00861AB6" w:rsidP="00861AB6">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bookmarkStart w:id="0" w:name="_Hlk46576018"/>
      <w:r>
        <w:rPr>
          <w:rFonts w:asciiTheme="minorHAnsi" w:hAnsiTheme="minorHAnsi"/>
          <w:sz w:val="22"/>
          <w:szCs w:val="22"/>
        </w:rPr>
        <w:t xml:space="preserve">This was not a clinical study. We </w:t>
      </w:r>
      <w:r w:rsidR="00254B5E">
        <w:rPr>
          <w:rFonts w:asciiTheme="minorHAnsi" w:hAnsiTheme="minorHAnsi"/>
          <w:sz w:val="22"/>
          <w:szCs w:val="22"/>
        </w:rPr>
        <w:t>used a</w:t>
      </w:r>
      <w:r>
        <w:rPr>
          <w:rFonts w:asciiTheme="minorHAnsi" w:hAnsiTheme="minorHAnsi"/>
          <w:sz w:val="22"/>
          <w:szCs w:val="22"/>
        </w:rPr>
        <w:t xml:space="preserve"> within-subject</w:t>
      </w:r>
      <w:r w:rsidR="00254B5E">
        <w:rPr>
          <w:rFonts w:asciiTheme="minorHAnsi" w:hAnsiTheme="minorHAnsi"/>
          <w:sz w:val="22"/>
          <w:szCs w:val="22"/>
        </w:rPr>
        <w:t xml:space="preserve"> designed with each participant completed trials in the two</w:t>
      </w:r>
      <w:r>
        <w:rPr>
          <w:rFonts w:asciiTheme="minorHAnsi" w:hAnsiTheme="minorHAnsi"/>
          <w:sz w:val="22"/>
          <w:szCs w:val="22"/>
        </w:rPr>
        <w:t xml:space="preserve"> experimental conditions, i.e., ‘Training’ and ‘No Training’.</w:t>
      </w:r>
    </w:p>
    <w:p w14:paraId="36038A25" w14:textId="40D7893B" w:rsidR="00861AB6" w:rsidRDefault="00861AB6" w:rsidP="00861AB6">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27B86378" w14:textId="11FFF8C4" w:rsidR="00861AB6" w:rsidRDefault="00861AB6" w:rsidP="00861AB6">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bookmarkStart w:id="1" w:name="_Hlk36195311"/>
      <w:r w:rsidRPr="00861AB6">
        <w:rPr>
          <w:rFonts w:asciiTheme="minorHAnsi" w:hAnsiTheme="minorHAnsi"/>
          <w:b/>
          <w:bCs/>
          <w:sz w:val="22"/>
          <w:szCs w:val="22"/>
        </w:rPr>
        <w:t>L</w:t>
      </w:r>
      <w:r w:rsidR="008E3EF5">
        <w:rPr>
          <w:rFonts w:asciiTheme="minorHAnsi" w:hAnsiTheme="minorHAnsi"/>
          <w:b/>
          <w:bCs/>
          <w:sz w:val="22"/>
          <w:szCs w:val="22"/>
        </w:rPr>
        <w:t>502</w:t>
      </w:r>
      <w:r w:rsidRPr="00861AB6">
        <w:rPr>
          <w:rFonts w:asciiTheme="minorHAnsi" w:hAnsiTheme="minorHAnsi"/>
          <w:b/>
          <w:bCs/>
          <w:sz w:val="22"/>
          <w:szCs w:val="22"/>
        </w:rPr>
        <w:t>-</w:t>
      </w:r>
      <w:r w:rsidR="008E3EF5">
        <w:rPr>
          <w:rFonts w:asciiTheme="minorHAnsi" w:hAnsiTheme="minorHAnsi"/>
          <w:b/>
          <w:bCs/>
          <w:sz w:val="22"/>
          <w:szCs w:val="22"/>
        </w:rPr>
        <w:t>505</w:t>
      </w:r>
      <w:r w:rsidRPr="00861AB6">
        <w:rPr>
          <w:rFonts w:asciiTheme="minorHAnsi" w:hAnsiTheme="minorHAnsi"/>
          <w:b/>
          <w:bCs/>
          <w:sz w:val="22"/>
          <w:szCs w:val="22"/>
        </w:rPr>
        <w:t>:</w:t>
      </w:r>
      <w:r>
        <w:rPr>
          <w:rFonts w:asciiTheme="minorHAnsi" w:hAnsiTheme="minorHAnsi"/>
          <w:sz w:val="22"/>
          <w:szCs w:val="22"/>
        </w:rPr>
        <w:t xml:space="preserve"> </w:t>
      </w:r>
      <w:r w:rsidR="008E3EF5" w:rsidRPr="008E3EF5">
        <w:rPr>
          <w:rFonts w:asciiTheme="minorHAnsi" w:hAnsiTheme="minorHAnsi"/>
          <w:sz w:val="22"/>
          <w:szCs w:val="22"/>
        </w:rPr>
        <w:t>Each experimental session consisted of 30 seconds of rest, a block of 10 trials in the ‘Training’ condition and a block of 10 trials in the ‘No Training’ condition (Figure 1B). The instruction for each block was presented for 10 s before the block started. The order of training and no training blocks was randomized in each session.</w:t>
      </w:r>
      <w:bookmarkEnd w:id="1"/>
    </w:p>
    <w:p w14:paraId="17322C08" w14:textId="77777777" w:rsidR="00861AB6" w:rsidRDefault="00861AB6" w:rsidP="00861AB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7A1E92F" w14:textId="3797A67B" w:rsidR="00861AB6" w:rsidRPr="00505C51" w:rsidRDefault="00861AB6" w:rsidP="00694A74">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All participants performed the same experimental tasks and within-subject </w:t>
      </w:r>
      <w:r w:rsidR="00694A74">
        <w:rPr>
          <w:rFonts w:asciiTheme="minorHAnsi" w:hAnsiTheme="minorHAnsi"/>
          <w:sz w:val="22"/>
          <w:szCs w:val="22"/>
        </w:rPr>
        <w:t>c</w:t>
      </w:r>
      <w:r>
        <w:rPr>
          <w:rFonts w:asciiTheme="minorHAnsi" w:hAnsiTheme="minorHAnsi"/>
          <w:sz w:val="22"/>
          <w:szCs w:val="22"/>
        </w:rPr>
        <w:t xml:space="preserve">omparisons were performed </w:t>
      </w:r>
      <w:r w:rsidR="00694A74">
        <w:rPr>
          <w:rFonts w:asciiTheme="minorHAnsi" w:hAnsiTheme="minorHAnsi"/>
          <w:sz w:val="22"/>
          <w:szCs w:val="22"/>
        </w:rPr>
        <w:t>between two experimental conditions</w:t>
      </w:r>
      <w:r>
        <w:rPr>
          <w:rFonts w:asciiTheme="minorHAnsi" w:hAnsiTheme="minorHAnsi"/>
          <w:sz w:val="22"/>
          <w:szCs w:val="22"/>
        </w:rPr>
        <w:t>.</w:t>
      </w:r>
      <w:r w:rsidR="00694A74">
        <w:rPr>
          <w:rFonts w:asciiTheme="minorHAnsi" w:hAnsiTheme="minorHAnsi"/>
          <w:sz w:val="22"/>
          <w:szCs w:val="22"/>
        </w:rPr>
        <w:t xml:space="preserve"> </w:t>
      </w:r>
    </w:p>
    <w:p w14:paraId="1BE90311" w14:textId="281D951F" w:rsidR="00BC3CCE"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1EE8CD9" w14:textId="4E5DBFF9" w:rsidR="00694A74" w:rsidRDefault="00694A74" w:rsidP="00694A74">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Calibri"/>
          <w:color w:val="000000"/>
          <w:sz w:val="22"/>
          <w:szCs w:val="22"/>
          <w:lang w:val="en-GB"/>
        </w:rPr>
      </w:pPr>
      <w:r w:rsidRPr="00DD187D">
        <w:rPr>
          <w:rFonts w:asciiTheme="minorHAnsi" w:hAnsiTheme="minorHAnsi"/>
          <w:b/>
          <w:bCs/>
          <w:sz w:val="22"/>
          <w:szCs w:val="22"/>
        </w:rPr>
        <w:t>L</w:t>
      </w:r>
      <w:r w:rsidR="008E3EF5">
        <w:rPr>
          <w:rFonts w:asciiTheme="minorHAnsi" w:hAnsiTheme="minorHAnsi"/>
          <w:b/>
          <w:bCs/>
          <w:sz w:val="22"/>
          <w:szCs w:val="22"/>
        </w:rPr>
        <w:t>510</w:t>
      </w:r>
      <w:r w:rsidRPr="00DD187D">
        <w:rPr>
          <w:rFonts w:asciiTheme="minorHAnsi" w:hAnsiTheme="minorHAnsi"/>
          <w:b/>
          <w:bCs/>
          <w:sz w:val="22"/>
          <w:szCs w:val="22"/>
        </w:rPr>
        <w:t>-</w:t>
      </w:r>
      <w:r w:rsidR="008E3EF5">
        <w:rPr>
          <w:rFonts w:asciiTheme="minorHAnsi" w:hAnsiTheme="minorHAnsi"/>
          <w:b/>
          <w:bCs/>
          <w:sz w:val="22"/>
          <w:szCs w:val="22"/>
        </w:rPr>
        <w:t>512</w:t>
      </w:r>
      <w:r w:rsidRPr="00DD187D">
        <w:rPr>
          <w:rFonts w:asciiTheme="minorHAnsi" w:hAnsiTheme="minorHAnsi"/>
          <w:b/>
          <w:bCs/>
          <w:sz w:val="22"/>
          <w:szCs w:val="22"/>
        </w:rPr>
        <w:t>:</w:t>
      </w:r>
      <w:r>
        <w:rPr>
          <w:rFonts w:asciiTheme="minorHAnsi" w:hAnsiTheme="minorHAnsi"/>
          <w:sz w:val="22"/>
          <w:szCs w:val="22"/>
        </w:rPr>
        <w:t xml:space="preserve"> </w:t>
      </w:r>
      <w:r w:rsidR="008E3EF5" w:rsidRPr="008E3EF5">
        <w:rPr>
          <w:rFonts w:asciiTheme="minorHAnsi" w:hAnsiTheme="minorHAnsi" w:cs="Calibri"/>
          <w:color w:val="000000"/>
          <w:sz w:val="22"/>
          <w:szCs w:val="22"/>
          <w:lang w:val="en-GB"/>
        </w:rPr>
        <w:t>Nine out of 12 participants completed 4 sessions of the task separately with both hemispheres and contralateral arms, and the other three participants only completed the task with the dominant hand for the motor task and the contralateral STN.</w:t>
      </w:r>
    </w:p>
    <w:p w14:paraId="21368A68" w14:textId="44687AD8" w:rsidR="00694A74" w:rsidRDefault="00694A74" w:rsidP="00694A74">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Calibri"/>
          <w:color w:val="000000"/>
          <w:sz w:val="22"/>
          <w:szCs w:val="22"/>
          <w:lang w:val="en-GB"/>
        </w:rPr>
      </w:pPr>
    </w:p>
    <w:p w14:paraId="2D71AF25" w14:textId="2FB87182" w:rsidR="00BB55EC" w:rsidRDefault="00695271" w:rsidP="00695271">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695271">
        <w:rPr>
          <w:rFonts w:asciiTheme="minorHAnsi" w:hAnsiTheme="minorHAnsi" w:cs="Calibri"/>
          <w:color w:val="000000"/>
          <w:sz w:val="22"/>
          <w:szCs w:val="22"/>
          <w:lang w:val="en-GB"/>
        </w:rPr>
        <w:t>For GLMEs, all valid trials from both experimental conditions were included.</w:t>
      </w:r>
    </w:p>
    <w:p w14:paraId="51E7490A" w14:textId="30E9E30B" w:rsidR="00695271" w:rsidRDefault="00695271" w:rsidP="00695271">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789AB73E" w14:textId="0EC50276" w:rsidR="00206502" w:rsidRPr="00206502" w:rsidRDefault="00695271" w:rsidP="00695271">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Calibri"/>
          <w:color w:val="000000"/>
          <w:sz w:val="22"/>
          <w:szCs w:val="22"/>
          <w:lang w:val="en-GB"/>
        </w:rPr>
      </w:pPr>
      <w:r w:rsidRPr="00DD187D">
        <w:rPr>
          <w:rFonts w:asciiTheme="minorHAnsi" w:hAnsiTheme="minorHAnsi"/>
          <w:b/>
          <w:bCs/>
          <w:sz w:val="22"/>
          <w:szCs w:val="22"/>
        </w:rPr>
        <w:t>L</w:t>
      </w:r>
      <w:r w:rsidR="008E3EF5">
        <w:rPr>
          <w:rFonts w:asciiTheme="minorHAnsi" w:hAnsiTheme="minorHAnsi"/>
          <w:b/>
          <w:bCs/>
          <w:sz w:val="22"/>
          <w:szCs w:val="22"/>
        </w:rPr>
        <w:t>654</w:t>
      </w:r>
      <w:r w:rsidRPr="00DD187D">
        <w:rPr>
          <w:rFonts w:asciiTheme="minorHAnsi" w:hAnsiTheme="minorHAnsi"/>
          <w:b/>
          <w:bCs/>
          <w:sz w:val="22"/>
          <w:szCs w:val="22"/>
        </w:rPr>
        <w:t>-</w:t>
      </w:r>
      <w:r w:rsidR="008E3EF5">
        <w:rPr>
          <w:rFonts w:asciiTheme="minorHAnsi" w:hAnsiTheme="minorHAnsi"/>
          <w:b/>
          <w:bCs/>
          <w:sz w:val="22"/>
          <w:szCs w:val="22"/>
        </w:rPr>
        <w:t>656</w:t>
      </w:r>
      <w:r w:rsidRPr="00DD187D">
        <w:rPr>
          <w:rFonts w:asciiTheme="minorHAnsi" w:hAnsiTheme="minorHAnsi"/>
          <w:b/>
          <w:bCs/>
          <w:sz w:val="22"/>
          <w:szCs w:val="22"/>
        </w:rPr>
        <w:t>:</w:t>
      </w:r>
      <w:r>
        <w:rPr>
          <w:rFonts w:asciiTheme="minorHAnsi" w:hAnsiTheme="minorHAnsi"/>
          <w:sz w:val="22"/>
          <w:szCs w:val="22"/>
        </w:rPr>
        <w:t xml:space="preserve"> </w:t>
      </w:r>
      <w:r w:rsidR="008E3EF5" w:rsidRPr="008E3EF5">
        <w:rPr>
          <w:rFonts w:asciiTheme="minorHAnsi" w:hAnsiTheme="minorHAnsi" w:cs="Calibri"/>
          <w:color w:val="000000"/>
          <w:sz w:val="22"/>
          <w:szCs w:val="22"/>
          <w:lang w:val="en-GB"/>
        </w:rPr>
        <w:t>When applying GLME modelling, data from all valid individual trials from all tested hemispheres were considered</w:t>
      </w:r>
      <w:r w:rsidR="008E3EF5">
        <w:rPr>
          <w:rFonts w:asciiTheme="minorHAnsi" w:hAnsiTheme="minorHAnsi" w:cs="Calibri"/>
          <w:color w:val="000000"/>
          <w:sz w:val="22"/>
          <w:szCs w:val="22"/>
          <w:lang w:val="en-GB"/>
        </w:rPr>
        <w:t>.</w:t>
      </w:r>
    </w:p>
    <w:bookmarkEnd w:id="0"/>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B6148F6" w:rsidR="00BC3CCE" w:rsidRPr="00206502" w:rsidRDefault="00206502" w:rsidP="00206502">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Calibri"/>
          <w:color w:val="000000"/>
          <w:sz w:val="22"/>
          <w:szCs w:val="22"/>
          <w:lang w:val="en-GB"/>
        </w:rPr>
      </w:pPr>
      <w:r w:rsidRPr="00206502">
        <w:rPr>
          <w:rFonts w:asciiTheme="minorHAnsi" w:hAnsiTheme="minorHAnsi" w:cs="Calibri"/>
          <w:color w:val="000000"/>
          <w:sz w:val="22"/>
          <w:szCs w:val="22"/>
          <w:lang w:val="en-GB"/>
        </w:rPr>
        <w:t>We have uploaded the data and the code with which one can generate the figures in the main manuscript (</w:t>
      </w:r>
      <w:r w:rsidRPr="009F71A0">
        <w:rPr>
          <w:rFonts w:asciiTheme="minorHAnsi" w:hAnsiTheme="minorHAnsi" w:cs="Calibri"/>
          <w:b/>
          <w:bCs/>
          <w:color w:val="000000"/>
          <w:sz w:val="22"/>
          <w:szCs w:val="22"/>
          <w:lang w:val="en-GB"/>
        </w:rPr>
        <w:t xml:space="preserve">Fig. </w:t>
      </w:r>
      <w:r w:rsidR="00884D79">
        <w:rPr>
          <w:rFonts w:asciiTheme="minorHAnsi" w:hAnsiTheme="minorHAnsi" w:cs="Calibri"/>
          <w:b/>
          <w:bCs/>
          <w:color w:val="000000"/>
          <w:sz w:val="22"/>
          <w:szCs w:val="22"/>
          <w:lang w:val="en-GB"/>
        </w:rPr>
        <w:t>2</w:t>
      </w:r>
      <w:r w:rsidRPr="009F71A0">
        <w:rPr>
          <w:rFonts w:asciiTheme="minorHAnsi" w:hAnsiTheme="minorHAnsi" w:cs="Calibri"/>
          <w:b/>
          <w:bCs/>
          <w:color w:val="000000"/>
          <w:sz w:val="22"/>
          <w:szCs w:val="22"/>
          <w:lang w:val="en-GB"/>
        </w:rPr>
        <w:t>-7</w:t>
      </w:r>
      <w:r w:rsidR="008E3EF5">
        <w:rPr>
          <w:rFonts w:asciiTheme="minorHAnsi" w:hAnsiTheme="minorHAnsi" w:cs="Calibri"/>
          <w:b/>
          <w:bCs/>
          <w:color w:val="000000"/>
          <w:sz w:val="22"/>
          <w:szCs w:val="22"/>
          <w:lang w:val="en-GB"/>
        </w:rPr>
        <w:t xml:space="preserve"> and figure supplements</w:t>
      </w:r>
      <w:r w:rsidRPr="00206502">
        <w:rPr>
          <w:rFonts w:asciiTheme="minorHAnsi" w:hAnsiTheme="minorHAnsi" w:cs="Calibri"/>
          <w:color w:val="000000"/>
          <w:sz w:val="22"/>
          <w:szCs w:val="22"/>
          <w:lang w:val="en-GB"/>
        </w:rPr>
        <w:t>)</w:t>
      </w:r>
      <w:r>
        <w:rPr>
          <w:rFonts w:asciiTheme="minorHAnsi" w:hAnsiTheme="minorHAnsi" w:cs="Calibri"/>
          <w:color w:val="000000"/>
          <w:sz w:val="22"/>
          <w:szCs w:val="22"/>
          <w:lang w:val="en-GB"/>
        </w:rPr>
        <w:t xml:space="preserve">, as well as the results in </w:t>
      </w:r>
      <w:r w:rsidRPr="00206502">
        <w:rPr>
          <w:rFonts w:asciiTheme="minorHAnsi" w:hAnsiTheme="minorHAnsi" w:cs="Calibri"/>
          <w:b/>
          <w:bCs/>
          <w:color w:val="000000"/>
          <w:sz w:val="22"/>
          <w:szCs w:val="22"/>
          <w:lang w:val="en-GB"/>
        </w:rPr>
        <w:t>Table II</w:t>
      </w:r>
      <w:r w:rsidR="009F71A0">
        <w:rPr>
          <w:rFonts w:asciiTheme="minorHAnsi" w:hAnsiTheme="minorHAnsi" w:cs="Calibri"/>
          <w:b/>
          <w:bCs/>
          <w:color w:val="000000"/>
          <w:sz w:val="22"/>
          <w:szCs w:val="22"/>
          <w:lang w:val="en-GB"/>
        </w:rPr>
        <w:t>.</w:t>
      </w:r>
      <w:r w:rsidR="00800A0A">
        <w:rPr>
          <w:rFonts w:asciiTheme="minorHAnsi" w:hAnsiTheme="minorHAnsi" w:cs="Calibri"/>
          <w:b/>
          <w:bCs/>
          <w:color w:val="000000"/>
          <w:sz w:val="22"/>
          <w:szCs w:val="22"/>
          <w:lang w:val="en-GB"/>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8EDCD" w14:textId="77777777" w:rsidR="0041131D" w:rsidRDefault="0041131D" w:rsidP="004215FE">
      <w:r>
        <w:separator/>
      </w:r>
    </w:p>
  </w:endnote>
  <w:endnote w:type="continuationSeparator" w:id="0">
    <w:p w14:paraId="179725F6" w14:textId="77777777" w:rsidR="0041131D" w:rsidRDefault="0041131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44908DF4"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2D3531">
      <w:rPr>
        <w:rStyle w:val="PageNumber"/>
        <w:rFonts w:asciiTheme="minorHAnsi" w:hAnsiTheme="minorHAnsi"/>
        <w:noProof/>
        <w:sz w:val="20"/>
        <w:szCs w:val="20"/>
      </w:rPr>
      <w:t>5</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C9CDE" w14:textId="77777777" w:rsidR="0041131D" w:rsidRDefault="0041131D" w:rsidP="004215FE">
      <w:r>
        <w:separator/>
      </w:r>
    </w:p>
  </w:footnote>
  <w:footnote w:type="continuationSeparator" w:id="0">
    <w:p w14:paraId="0E702A5C" w14:textId="77777777" w:rsidR="0041131D" w:rsidRDefault="0041131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lang w:val="en-GB"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02DB7"/>
    <w:multiLevelType w:val="multilevel"/>
    <w:tmpl w:val="0B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10291"/>
    <w:rsid w:val="00022DC0"/>
    <w:rsid w:val="00061B2F"/>
    <w:rsid w:val="00062DBF"/>
    <w:rsid w:val="00072A25"/>
    <w:rsid w:val="00083FE8"/>
    <w:rsid w:val="0009444E"/>
    <w:rsid w:val="0009520A"/>
    <w:rsid w:val="000A32A6"/>
    <w:rsid w:val="000A38BC"/>
    <w:rsid w:val="000B2AEA"/>
    <w:rsid w:val="000C4C4F"/>
    <w:rsid w:val="000C773F"/>
    <w:rsid w:val="000D14EE"/>
    <w:rsid w:val="000D62F9"/>
    <w:rsid w:val="000F2C81"/>
    <w:rsid w:val="000F64EE"/>
    <w:rsid w:val="00100F97"/>
    <w:rsid w:val="001019CD"/>
    <w:rsid w:val="00125190"/>
    <w:rsid w:val="00133662"/>
    <w:rsid w:val="00133907"/>
    <w:rsid w:val="00146DE9"/>
    <w:rsid w:val="0015022D"/>
    <w:rsid w:val="0015519A"/>
    <w:rsid w:val="001618D5"/>
    <w:rsid w:val="0017110E"/>
    <w:rsid w:val="00175192"/>
    <w:rsid w:val="001D137A"/>
    <w:rsid w:val="001E1D59"/>
    <w:rsid w:val="0020442A"/>
    <w:rsid w:val="00206502"/>
    <w:rsid w:val="00212F30"/>
    <w:rsid w:val="00214C41"/>
    <w:rsid w:val="00217B9E"/>
    <w:rsid w:val="0022023D"/>
    <w:rsid w:val="00222B2E"/>
    <w:rsid w:val="002336C6"/>
    <w:rsid w:val="00241081"/>
    <w:rsid w:val="00254B5E"/>
    <w:rsid w:val="00266462"/>
    <w:rsid w:val="00295A52"/>
    <w:rsid w:val="002A068D"/>
    <w:rsid w:val="002A0ED1"/>
    <w:rsid w:val="002A22B2"/>
    <w:rsid w:val="002A7487"/>
    <w:rsid w:val="002D06FC"/>
    <w:rsid w:val="002D3531"/>
    <w:rsid w:val="002D4DDC"/>
    <w:rsid w:val="00307F5D"/>
    <w:rsid w:val="003248ED"/>
    <w:rsid w:val="00332C34"/>
    <w:rsid w:val="0033632F"/>
    <w:rsid w:val="00370080"/>
    <w:rsid w:val="003B1601"/>
    <w:rsid w:val="003C4E37"/>
    <w:rsid w:val="003F19A6"/>
    <w:rsid w:val="00402ADD"/>
    <w:rsid w:val="00406FF4"/>
    <w:rsid w:val="0041131D"/>
    <w:rsid w:val="0041682E"/>
    <w:rsid w:val="004215FE"/>
    <w:rsid w:val="004242DB"/>
    <w:rsid w:val="00426FD0"/>
    <w:rsid w:val="00441726"/>
    <w:rsid w:val="004505C5"/>
    <w:rsid w:val="00451B01"/>
    <w:rsid w:val="00455849"/>
    <w:rsid w:val="00467348"/>
    <w:rsid w:val="00471732"/>
    <w:rsid w:val="004A5C32"/>
    <w:rsid w:val="004B41D4"/>
    <w:rsid w:val="004D5E59"/>
    <w:rsid w:val="004D602A"/>
    <w:rsid w:val="004D73CF"/>
    <w:rsid w:val="004E00DE"/>
    <w:rsid w:val="004E4945"/>
    <w:rsid w:val="004F451D"/>
    <w:rsid w:val="005009A4"/>
    <w:rsid w:val="00500E5A"/>
    <w:rsid w:val="00505C51"/>
    <w:rsid w:val="00516A01"/>
    <w:rsid w:val="0053000A"/>
    <w:rsid w:val="00550F13"/>
    <w:rsid w:val="005530AE"/>
    <w:rsid w:val="00555F44"/>
    <w:rsid w:val="00566103"/>
    <w:rsid w:val="00596DCC"/>
    <w:rsid w:val="005B0A15"/>
    <w:rsid w:val="005D0DB6"/>
    <w:rsid w:val="005E17D6"/>
    <w:rsid w:val="00605A12"/>
    <w:rsid w:val="006132B5"/>
    <w:rsid w:val="00617AA0"/>
    <w:rsid w:val="00634AC7"/>
    <w:rsid w:val="00657587"/>
    <w:rsid w:val="00661305"/>
    <w:rsid w:val="00661DCC"/>
    <w:rsid w:val="00672545"/>
    <w:rsid w:val="00676685"/>
    <w:rsid w:val="00685CCF"/>
    <w:rsid w:val="00694A74"/>
    <w:rsid w:val="00695271"/>
    <w:rsid w:val="006A632B"/>
    <w:rsid w:val="006C06F5"/>
    <w:rsid w:val="006C7BC3"/>
    <w:rsid w:val="006E4A6C"/>
    <w:rsid w:val="006E6B2A"/>
    <w:rsid w:val="00700103"/>
    <w:rsid w:val="007137E1"/>
    <w:rsid w:val="0071534C"/>
    <w:rsid w:val="0072127A"/>
    <w:rsid w:val="00762B36"/>
    <w:rsid w:val="00763BA5"/>
    <w:rsid w:val="0076524F"/>
    <w:rsid w:val="00767B26"/>
    <w:rsid w:val="007927ED"/>
    <w:rsid w:val="00795CED"/>
    <w:rsid w:val="007B6567"/>
    <w:rsid w:val="007B6D8A"/>
    <w:rsid w:val="007B7AF0"/>
    <w:rsid w:val="007C1A97"/>
    <w:rsid w:val="007C583F"/>
    <w:rsid w:val="007D18C3"/>
    <w:rsid w:val="007E54D8"/>
    <w:rsid w:val="007E5880"/>
    <w:rsid w:val="00800860"/>
    <w:rsid w:val="00800A0A"/>
    <w:rsid w:val="00800B12"/>
    <w:rsid w:val="008071DA"/>
    <w:rsid w:val="00813104"/>
    <w:rsid w:val="0082410E"/>
    <w:rsid w:val="008531D3"/>
    <w:rsid w:val="00860995"/>
    <w:rsid w:val="00861AB6"/>
    <w:rsid w:val="008633FD"/>
    <w:rsid w:val="00865914"/>
    <w:rsid w:val="008669DA"/>
    <w:rsid w:val="0087056D"/>
    <w:rsid w:val="00876F8F"/>
    <w:rsid w:val="00877644"/>
    <w:rsid w:val="00877729"/>
    <w:rsid w:val="00884D79"/>
    <w:rsid w:val="008A22A7"/>
    <w:rsid w:val="008C73C0"/>
    <w:rsid w:val="008D12C0"/>
    <w:rsid w:val="008D7885"/>
    <w:rsid w:val="008E3EF5"/>
    <w:rsid w:val="00911D6A"/>
    <w:rsid w:val="00912B0B"/>
    <w:rsid w:val="009205E9"/>
    <w:rsid w:val="0092438C"/>
    <w:rsid w:val="00941D04"/>
    <w:rsid w:val="00963CEF"/>
    <w:rsid w:val="00993065"/>
    <w:rsid w:val="009A0661"/>
    <w:rsid w:val="009A5E75"/>
    <w:rsid w:val="009D0D28"/>
    <w:rsid w:val="009E6ACE"/>
    <w:rsid w:val="009E7B13"/>
    <w:rsid w:val="009F71A0"/>
    <w:rsid w:val="00A05DEC"/>
    <w:rsid w:val="00A11EC6"/>
    <w:rsid w:val="00A131BD"/>
    <w:rsid w:val="00A32E20"/>
    <w:rsid w:val="00A5368C"/>
    <w:rsid w:val="00A62B52"/>
    <w:rsid w:val="00A84B3E"/>
    <w:rsid w:val="00A8614E"/>
    <w:rsid w:val="00A96080"/>
    <w:rsid w:val="00AB5612"/>
    <w:rsid w:val="00AC49AA"/>
    <w:rsid w:val="00AD7A8F"/>
    <w:rsid w:val="00AE7C75"/>
    <w:rsid w:val="00AE7E65"/>
    <w:rsid w:val="00AF5736"/>
    <w:rsid w:val="00B11033"/>
    <w:rsid w:val="00B124CC"/>
    <w:rsid w:val="00B17836"/>
    <w:rsid w:val="00B24C80"/>
    <w:rsid w:val="00B25462"/>
    <w:rsid w:val="00B330BD"/>
    <w:rsid w:val="00B4292F"/>
    <w:rsid w:val="00B55D04"/>
    <w:rsid w:val="00B57AD0"/>
    <w:rsid w:val="00B57E8A"/>
    <w:rsid w:val="00B64119"/>
    <w:rsid w:val="00B82A33"/>
    <w:rsid w:val="00B94C5D"/>
    <w:rsid w:val="00BA4D1B"/>
    <w:rsid w:val="00BA5BB7"/>
    <w:rsid w:val="00BB00D0"/>
    <w:rsid w:val="00BB2B03"/>
    <w:rsid w:val="00BB55EC"/>
    <w:rsid w:val="00BC3CCE"/>
    <w:rsid w:val="00C1184B"/>
    <w:rsid w:val="00C21D14"/>
    <w:rsid w:val="00C24CF7"/>
    <w:rsid w:val="00C42ECB"/>
    <w:rsid w:val="00C52A77"/>
    <w:rsid w:val="00C726BB"/>
    <w:rsid w:val="00C754DE"/>
    <w:rsid w:val="00C820B0"/>
    <w:rsid w:val="00CC4BC6"/>
    <w:rsid w:val="00CC6EF3"/>
    <w:rsid w:val="00CD6AEC"/>
    <w:rsid w:val="00CE6849"/>
    <w:rsid w:val="00CE68ED"/>
    <w:rsid w:val="00CF4BBE"/>
    <w:rsid w:val="00CF6CB5"/>
    <w:rsid w:val="00D10224"/>
    <w:rsid w:val="00D44612"/>
    <w:rsid w:val="00D50299"/>
    <w:rsid w:val="00D74320"/>
    <w:rsid w:val="00D7441B"/>
    <w:rsid w:val="00D779BF"/>
    <w:rsid w:val="00D83D45"/>
    <w:rsid w:val="00D93937"/>
    <w:rsid w:val="00DB1AC0"/>
    <w:rsid w:val="00DB4D06"/>
    <w:rsid w:val="00DC6A38"/>
    <w:rsid w:val="00DD187D"/>
    <w:rsid w:val="00DE207A"/>
    <w:rsid w:val="00DE2719"/>
    <w:rsid w:val="00DF1913"/>
    <w:rsid w:val="00DF4C9B"/>
    <w:rsid w:val="00E007B4"/>
    <w:rsid w:val="00E234CA"/>
    <w:rsid w:val="00E37505"/>
    <w:rsid w:val="00E41364"/>
    <w:rsid w:val="00E61AB4"/>
    <w:rsid w:val="00E70517"/>
    <w:rsid w:val="00E870D1"/>
    <w:rsid w:val="00ED346E"/>
    <w:rsid w:val="00EF7423"/>
    <w:rsid w:val="00F02CC4"/>
    <w:rsid w:val="00F10C96"/>
    <w:rsid w:val="00F27DEC"/>
    <w:rsid w:val="00F3344F"/>
    <w:rsid w:val="00F352CB"/>
    <w:rsid w:val="00F45F73"/>
    <w:rsid w:val="00F60CF4"/>
    <w:rsid w:val="00FC1F40"/>
    <w:rsid w:val="00FD0F2C"/>
    <w:rsid w:val="00FD65B4"/>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4F49807-48F0-44B8-90B4-082A4C21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paragraph" w:styleId="Heading1">
    <w:name w:val="heading 1"/>
    <w:basedOn w:val="Normal"/>
    <w:link w:val="Heading1Char"/>
    <w:uiPriority w:val="9"/>
    <w:qFormat/>
    <w:locked/>
    <w:rsid w:val="00CC4BC6"/>
    <w:pPr>
      <w:spacing w:before="100" w:beforeAutospacing="1" w:after="100" w:afterAutospacing="1"/>
      <w:outlineLvl w:val="0"/>
    </w:pPr>
    <w:rPr>
      <w:rFonts w:ascii="Times New Roman" w:eastAsia="Times New Roman" w:hAnsi="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Bibliography">
    <w:name w:val="Bibliography"/>
    <w:basedOn w:val="Normal"/>
    <w:next w:val="Normal"/>
    <w:uiPriority w:val="37"/>
    <w:semiHidden/>
    <w:unhideWhenUsed/>
    <w:rsid w:val="002D4DDC"/>
  </w:style>
  <w:style w:type="paragraph" w:customStyle="1" w:styleId="Default">
    <w:name w:val="Default"/>
    <w:rsid w:val="00596DCC"/>
    <w:pPr>
      <w:autoSpaceDE w:val="0"/>
      <w:autoSpaceDN w:val="0"/>
      <w:adjustRightInd w:val="0"/>
    </w:pPr>
    <w:rPr>
      <w:rFonts w:ascii="Calibri" w:hAnsi="Calibri" w:cs="Calibri"/>
      <w:color w:val="000000"/>
      <w:sz w:val="24"/>
      <w:szCs w:val="24"/>
      <w:lang w:val="en-GB"/>
    </w:rPr>
  </w:style>
  <w:style w:type="character" w:customStyle="1" w:styleId="Heading1Char">
    <w:name w:val="Heading 1 Char"/>
    <w:basedOn w:val="DefaultParagraphFont"/>
    <w:link w:val="Heading1"/>
    <w:uiPriority w:val="9"/>
    <w:rsid w:val="00CC4BC6"/>
    <w:rPr>
      <w:rFonts w:ascii="Times New Roman" w:eastAsia="Times New Roman" w:hAnsi="Times New Roman"/>
      <w:b/>
      <w:bCs/>
      <w:kern w:val="36"/>
      <w:sz w:val="48"/>
      <w:szCs w:val="48"/>
      <w:lang w:val="en-GB" w:eastAsia="zh-CN"/>
    </w:rPr>
  </w:style>
  <w:style w:type="paragraph" w:customStyle="1" w:styleId="nova-e-listitem">
    <w:name w:val="nova-e-list__item"/>
    <w:basedOn w:val="Normal"/>
    <w:rsid w:val="00911D6A"/>
    <w:pPr>
      <w:spacing w:before="100" w:beforeAutospacing="1" w:after="100" w:afterAutospacing="1"/>
    </w:pPr>
    <w:rPr>
      <w:rFonts w:ascii="Times New Roman" w:eastAsia="Times New Roman"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83511825">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3063475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F4469-DDEE-471E-94A5-B578D83A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13845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Shenghong He</cp:lastModifiedBy>
  <cp:revision>3</cp:revision>
  <dcterms:created xsi:type="dcterms:W3CDTF">2020-11-04T17:08:00Z</dcterms:created>
  <dcterms:modified xsi:type="dcterms:W3CDTF">2020-11-04T17:25:00Z</dcterms:modified>
</cp:coreProperties>
</file>