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034DB6" w:rsidR="00877644" w:rsidRPr="00125190" w:rsidRDefault="004511A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Power analyses were not used to predetermine sample sizes. Samples sizes were determined based on extensive experience with the infection model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494B9F" w14:textId="66180BC3" w:rsidR="00843305" w:rsidRPr="004511A3" w:rsidRDefault="004511A3" w:rsidP="008433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the number of replicates can be found in the figure legends. All reported N values represent biological replicates. We define a biological replicate as data from one mouse in </w:t>
      </w:r>
      <w:r>
        <w:rPr>
          <w:rFonts w:asciiTheme="minorHAnsi" w:hAnsiTheme="minorHAnsi"/>
          <w:i/>
        </w:rPr>
        <w:t xml:space="preserve">in vivo </w:t>
      </w:r>
      <w:r>
        <w:rPr>
          <w:rFonts w:asciiTheme="minorHAnsi" w:hAnsiTheme="minorHAnsi"/>
        </w:rPr>
        <w:t xml:space="preserve">experiments or one tissue culture well in </w:t>
      </w:r>
      <w:r>
        <w:rPr>
          <w:rFonts w:asciiTheme="minorHAnsi" w:hAnsiTheme="minorHAnsi"/>
          <w:i/>
        </w:rPr>
        <w:t>in vitro</w:t>
      </w:r>
      <w:r>
        <w:rPr>
          <w:rFonts w:asciiTheme="minorHAnsi" w:hAnsiTheme="minorHAnsi"/>
        </w:rPr>
        <w:t xml:space="preserve">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CE704BA" w14:textId="67F59EC8" w:rsidR="00843305" w:rsidRPr="004511A3" w:rsidRDefault="004511A3" w:rsidP="0084330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statistical tests used and N values can be found in the legends and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or </w:t>
      </w:r>
      <w:bookmarkStart w:id="0" w:name="_GoBack"/>
      <w:bookmarkEnd w:id="0"/>
      <w:r w:rsidR="0015519A">
        <w:rPr>
          <w:rFonts w:asciiTheme="minorHAnsi" w:hAnsiTheme="minorHAnsi"/>
          <w:sz w:val="22"/>
          <w:szCs w:val="22"/>
          <w:lang w:val="en-GB"/>
        </w:rPr>
        <w:t>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AD37FA" w14:textId="54D9429C" w:rsidR="00843305" w:rsidRPr="00125190" w:rsidRDefault="00843305" w:rsidP="008433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511A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70CA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1A3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330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2DD4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5CF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56F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FE9EDD-F5EC-4479-92F9-7FB8E9DD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Matthew D Lauver</cp:lastModifiedBy>
  <cp:revision>5</cp:revision>
  <dcterms:created xsi:type="dcterms:W3CDTF">2020-07-17T15:49:00Z</dcterms:created>
  <dcterms:modified xsi:type="dcterms:W3CDTF">2020-07-17T19:28:00Z</dcterms:modified>
</cp:coreProperties>
</file>