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66E97">
        <w:fldChar w:fldCharType="begin"/>
      </w:r>
      <w:r w:rsidR="00666E97">
        <w:instrText xml:space="preserve"> HYPERLINK "https://biosharing.org/" \t "_blank" </w:instrText>
      </w:r>
      <w:r w:rsidR="00666E9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66E9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1C08D47" w:rsidR="00877644" w:rsidRPr="00125190" w:rsidRDefault="000D1D9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</w:t>
      </w:r>
      <w:r w:rsidR="00BC1B42">
        <w:rPr>
          <w:rFonts w:asciiTheme="minorHAnsi" w:hAnsiTheme="minorHAnsi"/>
        </w:rPr>
        <w:t xml:space="preserve">and power analysis </w:t>
      </w:r>
      <w:r>
        <w:rPr>
          <w:rFonts w:asciiTheme="minorHAnsi" w:hAnsiTheme="minorHAnsi"/>
        </w:rPr>
        <w:t xml:space="preserve">information is </w:t>
      </w:r>
      <w:r w:rsidR="00335C5C">
        <w:rPr>
          <w:rFonts w:asciiTheme="minorHAnsi" w:hAnsiTheme="minorHAnsi"/>
        </w:rPr>
        <w:t xml:space="preserve">detailed </w:t>
      </w:r>
      <w:r>
        <w:rPr>
          <w:rFonts w:asciiTheme="minorHAnsi" w:hAnsiTheme="minorHAnsi"/>
        </w:rPr>
        <w:t xml:space="preserve">in the </w:t>
      </w:r>
      <w:r w:rsidR="003E7111">
        <w:rPr>
          <w:rFonts w:asciiTheme="minorHAnsi" w:hAnsiTheme="minorHAnsi"/>
          <w:i/>
          <w:iCs/>
        </w:rPr>
        <w:t>Study Rigor</w:t>
      </w:r>
      <w:r w:rsidR="002704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section of methods. </w:t>
      </w:r>
      <w:r w:rsidR="00D419CF">
        <w:rPr>
          <w:rFonts w:asciiTheme="minorHAnsi" w:hAnsiTheme="minorHAnsi"/>
        </w:rPr>
        <w:t>The sample sizes and statistical test</w:t>
      </w:r>
      <w:r w:rsidR="009364FA">
        <w:rPr>
          <w:rFonts w:asciiTheme="minorHAnsi" w:hAnsiTheme="minorHAnsi"/>
        </w:rPr>
        <w:t>s</w:t>
      </w:r>
      <w:r w:rsidR="00D419CF">
        <w:rPr>
          <w:rFonts w:asciiTheme="minorHAnsi" w:hAnsiTheme="minorHAnsi"/>
        </w:rPr>
        <w:t xml:space="preserve"> performed for each figure </w:t>
      </w:r>
      <w:r w:rsidR="009364FA">
        <w:rPr>
          <w:rFonts w:asciiTheme="minorHAnsi" w:hAnsiTheme="minorHAnsi"/>
        </w:rPr>
        <w:t>are</w:t>
      </w:r>
      <w:r w:rsidR="00D419CF">
        <w:rPr>
          <w:rFonts w:asciiTheme="minorHAnsi" w:hAnsiTheme="minorHAnsi"/>
        </w:rPr>
        <w:t xml:space="preserve"> </w:t>
      </w:r>
      <w:r w:rsidR="00335C5C">
        <w:rPr>
          <w:rFonts w:asciiTheme="minorHAnsi" w:hAnsiTheme="minorHAnsi"/>
        </w:rPr>
        <w:t>added in its respective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1E81AAAE" w14:textId="77777777" w:rsidR="0040121C" w:rsidRDefault="0040121C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br w:type="page"/>
      </w:r>
    </w:p>
    <w:p w14:paraId="6207056E" w14:textId="17832DD3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18A3D961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830961D" w14:textId="29AE96F2" w:rsidR="00CF5731" w:rsidRDefault="000D1D9E" w:rsidP="00CF573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vivo studies for the experimental groups were performed in two independent cohorts, wherever possible. Further details available in the </w:t>
      </w:r>
      <w:r w:rsidR="003E7111" w:rsidRPr="003E7111">
        <w:rPr>
          <w:rFonts w:asciiTheme="minorHAnsi" w:hAnsiTheme="minorHAnsi"/>
          <w:i/>
          <w:iCs/>
        </w:rPr>
        <w:t>Study Rigor</w:t>
      </w:r>
      <w:r>
        <w:rPr>
          <w:rFonts w:asciiTheme="minorHAnsi" w:hAnsiTheme="minorHAnsi"/>
        </w:rPr>
        <w:t xml:space="preserve"> section of methods.</w:t>
      </w:r>
      <w:r w:rsidR="00891C8A">
        <w:rPr>
          <w:rFonts w:asciiTheme="minorHAnsi" w:hAnsiTheme="minorHAnsi"/>
        </w:rPr>
        <w:t xml:space="preserve"> A definition of biological vs. technical replicates </w:t>
      </w:r>
      <w:r w:rsidR="00E3066D">
        <w:rPr>
          <w:rFonts w:asciiTheme="minorHAnsi" w:hAnsiTheme="minorHAnsi"/>
        </w:rPr>
        <w:t>and inclusion-exclusion criteria</w:t>
      </w:r>
      <w:r w:rsidR="00C9460A">
        <w:rPr>
          <w:rFonts w:asciiTheme="minorHAnsi" w:hAnsiTheme="minorHAnsi"/>
        </w:rPr>
        <w:t xml:space="preserve"> is explained</w:t>
      </w:r>
      <w:r w:rsidR="00891C8A">
        <w:rPr>
          <w:rFonts w:asciiTheme="minorHAnsi" w:hAnsiTheme="minorHAnsi"/>
        </w:rPr>
        <w:t xml:space="preserve"> in the </w:t>
      </w:r>
      <w:r w:rsidR="00E3066D" w:rsidRPr="00E3066D">
        <w:rPr>
          <w:rFonts w:asciiTheme="minorHAnsi" w:hAnsiTheme="minorHAnsi"/>
          <w:i/>
          <w:iCs/>
        </w:rPr>
        <w:t>Study Rigor</w:t>
      </w:r>
      <w:r w:rsidR="00E3066D">
        <w:rPr>
          <w:rFonts w:asciiTheme="minorHAnsi" w:hAnsiTheme="minorHAnsi"/>
        </w:rPr>
        <w:t xml:space="preserve"> </w:t>
      </w:r>
      <w:r w:rsidR="00891C8A">
        <w:rPr>
          <w:rFonts w:asciiTheme="minorHAnsi" w:hAnsiTheme="minorHAnsi"/>
        </w:rPr>
        <w:t xml:space="preserve">section. </w:t>
      </w:r>
      <w:r w:rsidR="00A32D1D">
        <w:rPr>
          <w:rFonts w:asciiTheme="minorHAnsi" w:hAnsiTheme="minorHAnsi"/>
        </w:rPr>
        <w:t>When mean values were calculated from technical replicates, it is reported in the methods subsection for the experiment</w:t>
      </w:r>
      <w:r w:rsidR="009E3756">
        <w:rPr>
          <w:rFonts w:asciiTheme="minorHAnsi" w:hAnsiTheme="minorHAnsi"/>
        </w:rPr>
        <w:t>:</w:t>
      </w:r>
    </w:p>
    <w:p w14:paraId="633E9C99" w14:textId="77777777" w:rsidR="009E3756" w:rsidRPr="009E3756" w:rsidRDefault="009E3756" w:rsidP="009E375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bidi="en-US"/>
        </w:rPr>
      </w:pPr>
      <w:r w:rsidRPr="009E3756">
        <w:rPr>
          <w:rFonts w:asciiTheme="minorHAnsi" w:hAnsiTheme="minorHAnsi"/>
          <w:i/>
          <w:iCs/>
          <w:lang w:bidi="en-US"/>
        </w:rPr>
        <w:t xml:space="preserve">Immunofluorescence Staining and Imaging </w:t>
      </w:r>
    </w:p>
    <w:p w14:paraId="6B95CE0A" w14:textId="77777777" w:rsidR="000C302D" w:rsidRPr="000C302D" w:rsidRDefault="000C302D" w:rsidP="000C302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lang w:bidi="en-US"/>
        </w:rPr>
      </w:pPr>
      <w:r w:rsidRPr="000C302D">
        <w:rPr>
          <w:rFonts w:asciiTheme="minorHAnsi" w:hAnsiTheme="minorHAnsi"/>
          <w:i/>
          <w:iCs/>
          <w:lang w:bidi="en-US"/>
        </w:rPr>
        <w:t>Immunofluorescence Staining, Imaging, and Analysis for Muscle Fiber Types</w:t>
      </w:r>
    </w:p>
    <w:p w14:paraId="5ACE7DC7" w14:textId="77777777" w:rsidR="00BF784C" w:rsidRPr="00BF784C" w:rsidRDefault="00BF784C" w:rsidP="00BF784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lang w:val="fr-FR" w:bidi="en-US"/>
        </w:rPr>
      </w:pPr>
      <w:proofErr w:type="spellStart"/>
      <w:r w:rsidRPr="00BF784C">
        <w:rPr>
          <w:rFonts w:asciiTheme="minorHAnsi" w:hAnsiTheme="minorHAnsi"/>
          <w:i/>
          <w:lang w:val="fr-FR" w:bidi="en-US"/>
        </w:rPr>
        <w:t>Intramuscular</w:t>
      </w:r>
      <w:proofErr w:type="spellEnd"/>
      <w:r w:rsidRPr="00BF784C">
        <w:rPr>
          <w:rFonts w:asciiTheme="minorHAnsi" w:hAnsiTheme="minorHAnsi"/>
          <w:i/>
          <w:lang w:val="fr-FR" w:bidi="en-US"/>
        </w:rPr>
        <w:t xml:space="preserve"> vs. </w:t>
      </w:r>
      <w:proofErr w:type="spellStart"/>
      <w:r w:rsidRPr="00BF784C">
        <w:rPr>
          <w:rFonts w:asciiTheme="minorHAnsi" w:hAnsiTheme="minorHAnsi"/>
          <w:i/>
          <w:lang w:val="fr-FR" w:bidi="en-US"/>
        </w:rPr>
        <w:t>Intermuscular</w:t>
      </w:r>
      <w:proofErr w:type="spellEnd"/>
      <w:r w:rsidRPr="00BF784C">
        <w:rPr>
          <w:rFonts w:asciiTheme="minorHAnsi" w:hAnsiTheme="minorHAnsi"/>
          <w:i/>
          <w:lang w:val="fr-FR" w:bidi="en-US"/>
        </w:rPr>
        <w:t xml:space="preserve"> Adipose Tissue Quantification</w:t>
      </w:r>
    </w:p>
    <w:p w14:paraId="727E88AE" w14:textId="77777777" w:rsidR="00CD2697" w:rsidRPr="00CD2697" w:rsidRDefault="00CD2697" w:rsidP="00CD269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lang w:bidi="en-US"/>
        </w:rPr>
      </w:pPr>
      <w:r w:rsidRPr="00CD2697">
        <w:rPr>
          <w:rFonts w:asciiTheme="minorHAnsi" w:hAnsiTheme="minorHAnsi"/>
          <w:i/>
          <w:lang w:bidi="en-US"/>
        </w:rPr>
        <w:t>Masson’s Trichrome Staining and Analysis</w:t>
      </w:r>
    </w:p>
    <w:p w14:paraId="7EB3CB00" w14:textId="77777777" w:rsidR="000D6C2A" w:rsidRPr="000D6C2A" w:rsidRDefault="000D6C2A" w:rsidP="000D6C2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bidi="en-US"/>
        </w:rPr>
      </w:pPr>
      <w:r w:rsidRPr="000D6C2A">
        <w:rPr>
          <w:rFonts w:asciiTheme="minorHAnsi" w:hAnsiTheme="minorHAnsi"/>
          <w:i/>
          <w:iCs/>
          <w:lang w:bidi="en-US"/>
        </w:rPr>
        <w:t>Circulating Klotho and FGF23 quantification</w:t>
      </w:r>
    </w:p>
    <w:p w14:paraId="4A937478" w14:textId="1B6C5453" w:rsidR="00B14EC8" w:rsidRDefault="00BC1B4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lang w:bidi="en-US"/>
        </w:rPr>
      </w:pPr>
      <w:r w:rsidRPr="00BC1B42">
        <w:rPr>
          <w:rFonts w:asciiTheme="minorHAnsi" w:hAnsiTheme="minorHAnsi"/>
          <w:i/>
          <w:lang w:bidi="en-US"/>
        </w:rPr>
        <w:t xml:space="preserve">Exercise-induced injury </w:t>
      </w:r>
    </w:p>
    <w:p w14:paraId="5576A302" w14:textId="4E54F5F7" w:rsidR="00B14EC8" w:rsidRDefault="00AA3AC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Cs/>
          <w:lang w:bidi="en-US"/>
        </w:rPr>
      </w:pPr>
      <w:r>
        <w:rPr>
          <w:rFonts w:asciiTheme="minorHAnsi" w:hAnsiTheme="minorHAnsi"/>
          <w:iCs/>
          <w:lang w:bidi="en-US"/>
        </w:rPr>
        <w:t xml:space="preserve">We state how we handled outliers in the figure legend, wherever applicable. </w:t>
      </w:r>
    </w:p>
    <w:p w14:paraId="2C6CF62C" w14:textId="44C58432" w:rsidR="00C9460A" w:rsidRPr="00C9460A" w:rsidRDefault="00C9460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Cs/>
          <w:lang w:bidi="en-US"/>
        </w:rPr>
      </w:pPr>
      <w:r>
        <w:rPr>
          <w:rFonts w:asciiTheme="minorHAnsi" w:hAnsiTheme="minorHAnsi"/>
          <w:iCs/>
          <w:lang w:bidi="en-US"/>
        </w:rPr>
        <w:t xml:space="preserve">GEO reference number has been provided in the main text, as well as the </w:t>
      </w:r>
      <w:r w:rsidRPr="00C9460A">
        <w:rPr>
          <w:rFonts w:asciiTheme="minorHAnsi" w:hAnsiTheme="minorHAnsi"/>
          <w:i/>
          <w:lang w:bidi="en-US"/>
        </w:rPr>
        <w:t>Data Availability</w:t>
      </w:r>
      <w:r>
        <w:rPr>
          <w:rFonts w:asciiTheme="minorHAnsi" w:hAnsiTheme="minorHAnsi"/>
          <w:i/>
          <w:lang w:bidi="en-US"/>
        </w:rPr>
        <w:t xml:space="preserve"> </w:t>
      </w:r>
      <w:r>
        <w:rPr>
          <w:rFonts w:asciiTheme="minorHAnsi" w:hAnsiTheme="minorHAnsi"/>
          <w:iCs/>
          <w:lang w:bidi="en-US"/>
        </w:rPr>
        <w:t xml:space="preserve">section with a private </w:t>
      </w:r>
      <w:r w:rsidR="002E4E35">
        <w:rPr>
          <w:rFonts w:asciiTheme="minorHAnsi" w:hAnsiTheme="minorHAnsi"/>
          <w:iCs/>
          <w:lang w:bidi="en-US"/>
        </w:rPr>
        <w:t>link for reviewers to access.</w:t>
      </w:r>
    </w:p>
    <w:p w14:paraId="203989C1" w14:textId="77777777" w:rsidR="00FF5ED7" w:rsidRPr="000D6C2A" w:rsidRDefault="00FF5ED7" w:rsidP="00FF5ED7">
      <w:pPr>
        <w:rPr>
          <w:rFonts w:asciiTheme="minorHAnsi" w:hAnsiTheme="minorHAnsi"/>
          <w:b/>
          <w:bCs/>
        </w:rPr>
      </w:pPr>
    </w:p>
    <w:p w14:paraId="423DA177" w14:textId="0F727166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528684" w:rsidR="0015519A" w:rsidRPr="00505C51" w:rsidRDefault="00515A8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</w:t>
      </w:r>
      <w:r w:rsidR="000D1D9E">
        <w:rPr>
          <w:rFonts w:asciiTheme="minorHAnsi" w:hAnsiTheme="minorHAnsi"/>
          <w:sz w:val="22"/>
          <w:szCs w:val="22"/>
        </w:rPr>
        <w:t xml:space="preserve">nformation </w:t>
      </w:r>
      <w:r>
        <w:rPr>
          <w:rFonts w:asciiTheme="minorHAnsi" w:hAnsiTheme="minorHAnsi"/>
          <w:sz w:val="22"/>
          <w:szCs w:val="22"/>
        </w:rPr>
        <w:t xml:space="preserve">is </w:t>
      </w:r>
      <w:r w:rsidR="000D1D9E">
        <w:rPr>
          <w:rFonts w:asciiTheme="minorHAnsi" w:hAnsiTheme="minorHAnsi"/>
          <w:sz w:val="22"/>
          <w:szCs w:val="22"/>
        </w:rPr>
        <w:t xml:space="preserve">reported in </w:t>
      </w:r>
      <w:r w:rsidR="00ED3326" w:rsidRPr="003E7111">
        <w:rPr>
          <w:rFonts w:asciiTheme="minorHAnsi" w:hAnsiTheme="minorHAnsi"/>
          <w:i/>
          <w:iCs/>
          <w:sz w:val="22"/>
          <w:szCs w:val="22"/>
        </w:rPr>
        <w:t>S</w:t>
      </w:r>
      <w:r w:rsidR="000D1D9E" w:rsidRPr="003E7111">
        <w:rPr>
          <w:rFonts w:asciiTheme="minorHAnsi" w:hAnsiTheme="minorHAnsi"/>
          <w:i/>
          <w:iCs/>
          <w:sz w:val="22"/>
          <w:szCs w:val="22"/>
        </w:rPr>
        <w:t xml:space="preserve">tatistical </w:t>
      </w:r>
      <w:r w:rsidR="003E7111" w:rsidRPr="003E7111">
        <w:rPr>
          <w:rFonts w:asciiTheme="minorHAnsi" w:hAnsiTheme="minorHAnsi"/>
          <w:i/>
          <w:iCs/>
          <w:sz w:val="22"/>
          <w:szCs w:val="22"/>
        </w:rPr>
        <w:t>A</w:t>
      </w:r>
      <w:r w:rsidR="000D1D9E" w:rsidRPr="003E7111">
        <w:rPr>
          <w:rFonts w:asciiTheme="minorHAnsi" w:hAnsiTheme="minorHAnsi"/>
          <w:i/>
          <w:iCs/>
          <w:sz w:val="22"/>
          <w:szCs w:val="22"/>
        </w:rPr>
        <w:t>nalysis</w:t>
      </w:r>
      <w:r w:rsidR="000D1D9E">
        <w:rPr>
          <w:rFonts w:asciiTheme="minorHAnsi" w:hAnsiTheme="minorHAnsi"/>
          <w:sz w:val="22"/>
          <w:szCs w:val="22"/>
        </w:rPr>
        <w:t xml:space="preserve"> section of the methods. All figure legends have sample size and statistical </w:t>
      </w:r>
      <w:r w:rsidR="00865486">
        <w:rPr>
          <w:rFonts w:asciiTheme="minorHAnsi" w:hAnsiTheme="minorHAnsi"/>
          <w:sz w:val="22"/>
          <w:szCs w:val="22"/>
        </w:rPr>
        <w:t xml:space="preserve">analysis method </w:t>
      </w:r>
      <w:r w:rsidR="000D1D9E">
        <w:rPr>
          <w:rFonts w:asciiTheme="minorHAnsi" w:hAnsiTheme="minorHAnsi"/>
          <w:sz w:val="22"/>
          <w:szCs w:val="22"/>
        </w:rPr>
        <w:t>in their description.</w:t>
      </w:r>
      <w:r w:rsidR="003D58CC">
        <w:rPr>
          <w:rFonts w:asciiTheme="minorHAnsi" w:hAnsiTheme="minorHAnsi"/>
          <w:sz w:val="22"/>
          <w:szCs w:val="22"/>
        </w:rPr>
        <w:t xml:space="preserve"> P-values have been reported in the figure legend wherever applicable.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1F3CB71" w:rsidR="00BC3CCE" w:rsidRPr="00505C51" w:rsidRDefault="00BA4B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allocation, randomization, and </w:t>
      </w:r>
      <w:r w:rsidR="00ED3326">
        <w:rPr>
          <w:rFonts w:asciiTheme="minorHAnsi" w:hAnsiTheme="minorHAnsi"/>
          <w:sz w:val="22"/>
          <w:szCs w:val="22"/>
        </w:rPr>
        <w:t xml:space="preserve">blinding descriptions are described in the </w:t>
      </w:r>
      <w:r w:rsidR="003E7111" w:rsidRPr="003E7111">
        <w:rPr>
          <w:rFonts w:asciiTheme="minorHAnsi" w:hAnsiTheme="minorHAnsi"/>
          <w:i/>
          <w:iCs/>
          <w:sz w:val="22"/>
          <w:szCs w:val="22"/>
        </w:rPr>
        <w:t>S</w:t>
      </w:r>
      <w:r w:rsidR="00ED3326" w:rsidRPr="00ED3326">
        <w:rPr>
          <w:rFonts w:asciiTheme="minorHAnsi" w:hAnsiTheme="minorHAnsi"/>
          <w:i/>
          <w:iCs/>
          <w:sz w:val="22"/>
          <w:szCs w:val="22"/>
        </w:rPr>
        <w:t xml:space="preserve">tudy </w:t>
      </w:r>
      <w:r w:rsidR="003E7111">
        <w:rPr>
          <w:rFonts w:asciiTheme="minorHAnsi" w:hAnsiTheme="minorHAnsi"/>
          <w:i/>
          <w:iCs/>
          <w:sz w:val="22"/>
          <w:szCs w:val="22"/>
        </w:rPr>
        <w:t>R</w:t>
      </w:r>
      <w:r w:rsidR="00ED3326" w:rsidRPr="00ED3326">
        <w:rPr>
          <w:rFonts w:asciiTheme="minorHAnsi" w:hAnsiTheme="minorHAnsi"/>
          <w:i/>
          <w:iCs/>
          <w:sz w:val="22"/>
          <w:szCs w:val="22"/>
        </w:rPr>
        <w:t>igor</w:t>
      </w:r>
      <w:r w:rsidR="00ED3326">
        <w:rPr>
          <w:rFonts w:asciiTheme="minorHAnsi" w:hAnsiTheme="minorHAnsi"/>
          <w:sz w:val="22"/>
          <w:szCs w:val="22"/>
        </w:rPr>
        <w:t xml:space="preserve"> section </w:t>
      </w:r>
      <w:r w:rsidR="0040121C">
        <w:rPr>
          <w:rFonts w:asciiTheme="minorHAnsi" w:hAnsiTheme="minorHAnsi"/>
          <w:sz w:val="22"/>
          <w:szCs w:val="22"/>
        </w:rPr>
        <w:t>o</w:t>
      </w:r>
      <w:r w:rsidR="00ED3326">
        <w:rPr>
          <w:rFonts w:asciiTheme="minorHAnsi" w:hAnsiTheme="minorHAnsi"/>
          <w:sz w:val="22"/>
          <w:szCs w:val="22"/>
        </w:rPr>
        <w:t>f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4D180DFD" w14:textId="77777777" w:rsidR="00666E97" w:rsidRDefault="00666E97" w:rsidP="00877644">
      <w:pPr>
        <w:rPr>
          <w:rFonts w:asciiTheme="minorHAnsi" w:hAnsiTheme="minorHAnsi"/>
          <w:b/>
          <w:sz w:val="22"/>
          <w:szCs w:val="22"/>
        </w:rPr>
      </w:pPr>
    </w:p>
    <w:p w14:paraId="05773BDA" w14:textId="77777777" w:rsidR="00666E97" w:rsidRDefault="00666E97" w:rsidP="00877644">
      <w:pPr>
        <w:rPr>
          <w:rFonts w:asciiTheme="minorHAnsi" w:hAnsiTheme="minorHAnsi"/>
          <w:b/>
          <w:sz w:val="22"/>
          <w:szCs w:val="22"/>
        </w:rPr>
      </w:pPr>
    </w:p>
    <w:p w14:paraId="0D4BB61E" w14:textId="2EDD93AE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F34FDE2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</w:t>
      </w:r>
      <w:r w:rsidR="00B900A0">
        <w:rPr>
          <w:rFonts w:asciiTheme="minorHAnsi" w:hAnsiTheme="minorHAnsi"/>
          <w:sz w:val="22"/>
          <w:szCs w:val="22"/>
        </w:rPr>
        <w:t>AT</w:t>
      </w:r>
      <w:r w:rsidR="00BA5BB7" w:rsidRPr="00505C51">
        <w:rPr>
          <w:rFonts w:asciiTheme="minorHAnsi" w:hAnsiTheme="minorHAnsi"/>
          <w:sz w:val="22"/>
          <w:szCs w:val="22"/>
        </w:rPr>
        <w:t>L</w:t>
      </w:r>
      <w:r w:rsidR="00B900A0">
        <w:rPr>
          <w:rFonts w:asciiTheme="minorHAnsi" w:hAnsiTheme="minorHAnsi"/>
          <w:sz w:val="22"/>
          <w:szCs w:val="22"/>
        </w:rPr>
        <w:t>AB</w:t>
      </w:r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5445A25" w:rsidR="00BC3CCE" w:rsidRPr="00505C51" w:rsidRDefault="00A5132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Python code used for network analysis is uploaded on Git</w:t>
      </w:r>
      <w:r w:rsidR="00B75106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ub, and the link has been provided in th</w:t>
      </w:r>
      <w:r w:rsidR="00EC0F9D">
        <w:rPr>
          <w:rFonts w:asciiTheme="minorHAnsi" w:hAnsiTheme="minorHAnsi"/>
          <w:sz w:val="22"/>
          <w:szCs w:val="22"/>
        </w:rPr>
        <w:t xml:space="preserve">e </w:t>
      </w:r>
      <w:r w:rsidR="00EC0F9D" w:rsidRPr="00EC0F9D">
        <w:rPr>
          <w:rFonts w:asciiTheme="minorHAnsi" w:hAnsiTheme="minorHAnsi"/>
          <w:i/>
          <w:iCs/>
          <w:sz w:val="22"/>
          <w:szCs w:val="22"/>
        </w:rPr>
        <w:t>Methods</w:t>
      </w:r>
      <w:r w:rsidR="00EC0F9D">
        <w:rPr>
          <w:rFonts w:asciiTheme="minorHAnsi" w:hAnsiTheme="minorHAnsi"/>
          <w:sz w:val="22"/>
          <w:szCs w:val="22"/>
        </w:rPr>
        <w:t xml:space="preserve">, as well as the </w:t>
      </w:r>
      <w:r w:rsidR="00EC0F9D" w:rsidRPr="00EC0F9D">
        <w:rPr>
          <w:rFonts w:asciiTheme="minorHAnsi" w:hAnsiTheme="minorHAnsi"/>
          <w:i/>
          <w:iCs/>
          <w:sz w:val="22"/>
          <w:szCs w:val="22"/>
        </w:rPr>
        <w:t>Key Resources Table</w:t>
      </w:r>
      <w:r w:rsidR="00EC0F9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EC0F9D" w:rsidRPr="00EC0F9D">
        <w:rPr>
          <w:rFonts w:asciiTheme="minorHAnsi" w:hAnsiTheme="minorHAnsi"/>
          <w:sz w:val="22"/>
          <w:szCs w:val="22"/>
        </w:rPr>
        <w:t>in the manuscript</w:t>
      </w:r>
      <w:r w:rsidR="00EC0F9D">
        <w:rPr>
          <w:rFonts w:asciiTheme="minorHAnsi" w:hAnsiTheme="minorHAnsi"/>
          <w:sz w:val="22"/>
          <w:szCs w:val="22"/>
        </w:rPr>
        <w:t>.</w:t>
      </w:r>
      <w:r w:rsidR="008A571D">
        <w:rPr>
          <w:rFonts w:asciiTheme="minorHAnsi" w:hAnsiTheme="minorHAnsi"/>
          <w:sz w:val="22"/>
          <w:szCs w:val="22"/>
        </w:rPr>
        <w:t xml:space="preserve"> Raw data for </w:t>
      </w:r>
      <w:r w:rsidR="009865D8">
        <w:rPr>
          <w:rFonts w:asciiTheme="minorHAnsi" w:hAnsiTheme="minorHAnsi"/>
          <w:sz w:val="22"/>
          <w:szCs w:val="22"/>
        </w:rPr>
        <w:t>all figures</w:t>
      </w:r>
      <w:r w:rsidR="008A571D">
        <w:rPr>
          <w:rFonts w:asciiTheme="minorHAnsi" w:hAnsiTheme="minorHAnsi"/>
          <w:sz w:val="22"/>
          <w:szCs w:val="22"/>
        </w:rPr>
        <w:t xml:space="preserve"> are available </w:t>
      </w:r>
      <w:r w:rsidR="009865D8">
        <w:rPr>
          <w:rFonts w:asciiTheme="minorHAnsi" w:hAnsiTheme="minorHAnsi"/>
          <w:sz w:val="22"/>
          <w:szCs w:val="22"/>
        </w:rPr>
        <w:t>in the accompanying source data file</w:t>
      </w:r>
      <w:r w:rsidR="00B366B3">
        <w:rPr>
          <w:rFonts w:asciiTheme="minorHAnsi" w:hAnsiTheme="minorHAnsi"/>
          <w:sz w:val="22"/>
          <w:szCs w:val="22"/>
        </w:rPr>
        <w:t xml:space="preserve">. This is stated in the </w:t>
      </w:r>
      <w:r w:rsidR="00B366B3" w:rsidRPr="00B366B3">
        <w:rPr>
          <w:rFonts w:asciiTheme="minorHAnsi" w:hAnsiTheme="minorHAnsi"/>
          <w:i/>
          <w:iCs/>
          <w:sz w:val="22"/>
          <w:szCs w:val="22"/>
        </w:rPr>
        <w:t>Study Rigor</w:t>
      </w:r>
      <w:r w:rsidR="00B366B3">
        <w:rPr>
          <w:rFonts w:asciiTheme="minorHAnsi" w:hAnsiTheme="minorHAnsi"/>
          <w:sz w:val="22"/>
          <w:szCs w:val="22"/>
        </w:rPr>
        <w:t xml:space="preserve"> section of the methods.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5B47C" w14:textId="77777777" w:rsidR="002439AC" w:rsidRDefault="002439AC" w:rsidP="004215FE">
      <w:r>
        <w:separator/>
      </w:r>
    </w:p>
  </w:endnote>
  <w:endnote w:type="continuationSeparator" w:id="0">
    <w:p w14:paraId="339712B0" w14:textId="77777777" w:rsidR="002439AC" w:rsidRDefault="002439AC" w:rsidP="004215FE">
      <w:r>
        <w:continuationSeparator/>
      </w:r>
    </w:p>
  </w:endnote>
  <w:endnote w:type="continuationNotice" w:id="1">
    <w:p w14:paraId="41B9471F" w14:textId="77777777" w:rsidR="002439AC" w:rsidRDefault="00243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519AA700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15A84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3713E" w14:textId="77777777" w:rsidR="002439AC" w:rsidRDefault="002439AC" w:rsidP="004215FE">
      <w:r>
        <w:separator/>
      </w:r>
    </w:p>
  </w:footnote>
  <w:footnote w:type="continuationSeparator" w:id="0">
    <w:p w14:paraId="57E443CB" w14:textId="77777777" w:rsidR="002439AC" w:rsidRDefault="002439AC" w:rsidP="004215FE">
      <w:r>
        <w:continuationSeparator/>
      </w:r>
    </w:p>
  </w:footnote>
  <w:footnote w:type="continuationNotice" w:id="1">
    <w:p w14:paraId="6EE228F5" w14:textId="77777777" w:rsidR="002439AC" w:rsidRDefault="002439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302D"/>
    <w:rsid w:val="000C4C4F"/>
    <w:rsid w:val="000C773F"/>
    <w:rsid w:val="000D14EE"/>
    <w:rsid w:val="000D1D9E"/>
    <w:rsid w:val="000D62F9"/>
    <w:rsid w:val="000D6C2A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0795"/>
    <w:rsid w:val="00212F30"/>
    <w:rsid w:val="00217B9E"/>
    <w:rsid w:val="00223FE4"/>
    <w:rsid w:val="002336C6"/>
    <w:rsid w:val="00241081"/>
    <w:rsid w:val="002439AC"/>
    <w:rsid w:val="00255B21"/>
    <w:rsid w:val="00266462"/>
    <w:rsid w:val="00270465"/>
    <w:rsid w:val="002A068D"/>
    <w:rsid w:val="002A0ED1"/>
    <w:rsid w:val="002A7487"/>
    <w:rsid w:val="002E4E35"/>
    <w:rsid w:val="00307F5D"/>
    <w:rsid w:val="003248ED"/>
    <w:rsid w:val="00335C5C"/>
    <w:rsid w:val="00370080"/>
    <w:rsid w:val="003D58CC"/>
    <w:rsid w:val="003E7111"/>
    <w:rsid w:val="003F19A6"/>
    <w:rsid w:val="0040121C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0706"/>
    <w:rsid w:val="00471732"/>
    <w:rsid w:val="004A1CE7"/>
    <w:rsid w:val="004A5C32"/>
    <w:rsid w:val="004B41D4"/>
    <w:rsid w:val="004D5E59"/>
    <w:rsid w:val="004D602A"/>
    <w:rsid w:val="004D73CF"/>
    <w:rsid w:val="004E4945"/>
    <w:rsid w:val="004E5A97"/>
    <w:rsid w:val="004F451D"/>
    <w:rsid w:val="00505C51"/>
    <w:rsid w:val="00515A84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6E97"/>
    <w:rsid w:val="00672545"/>
    <w:rsid w:val="00685CCF"/>
    <w:rsid w:val="006A632B"/>
    <w:rsid w:val="006B0265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276"/>
    <w:rsid w:val="007C1A97"/>
    <w:rsid w:val="007D18C3"/>
    <w:rsid w:val="007E54D8"/>
    <w:rsid w:val="007E5880"/>
    <w:rsid w:val="00800860"/>
    <w:rsid w:val="00805349"/>
    <w:rsid w:val="008071DA"/>
    <w:rsid w:val="0082410E"/>
    <w:rsid w:val="008531D3"/>
    <w:rsid w:val="00853C2E"/>
    <w:rsid w:val="00860995"/>
    <w:rsid w:val="00865486"/>
    <w:rsid w:val="00865914"/>
    <w:rsid w:val="008669DA"/>
    <w:rsid w:val="0087056D"/>
    <w:rsid w:val="00876F8F"/>
    <w:rsid w:val="00877644"/>
    <w:rsid w:val="00877729"/>
    <w:rsid w:val="00891C8A"/>
    <w:rsid w:val="008A22A7"/>
    <w:rsid w:val="008A571D"/>
    <w:rsid w:val="008C73C0"/>
    <w:rsid w:val="008D7885"/>
    <w:rsid w:val="00912B0B"/>
    <w:rsid w:val="009205E9"/>
    <w:rsid w:val="0092438C"/>
    <w:rsid w:val="009364FA"/>
    <w:rsid w:val="00941D04"/>
    <w:rsid w:val="00963CEF"/>
    <w:rsid w:val="009865D8"/>
    <w:rsid w:val="00993065"/>
    <w:rsid w:val="009A0661"/>
    <w:rsid w:val="009D0D28"/>
    <w:rsid w:val="009E3756"/>
    <w:rsid w:val="009E6ACE"/>
    <w:rsid w:val="009E7B13"/>
    <w:rsid w:val="00A11EC6"/>
    <w:rsid w:val="00A131BD"/>
    <w:rsid w:val="00A32D1D"/>
    <w:rsid w:val="00A32E20"/>
    <w:rsid w:val="00A5132B"/>
    <w:rsid w:val="00A5368C"/>
    <w:rsid w:val="00A62B52"/>
    <w:rsid w:val="00A84B3E"/>
    <w:rsid w:val="00AA3AC8"/>
    <w:rsid w:val="00AB5612"/>
    <w:rsid w:val="00AC49AA"/>
    <w:rsid w:val="00AD7A8F"/>
    <w:rsid w:val="00AE7C75"/>
    <w:rsid w:val="00AF5736"/>
    <w:rsid w:val="00B124CC"/>
    <w:rsid w:val="00B14EC8"/>
    <w:rsid w:val="00B17836"/>
    <w:rsid w:val="00B24C80"/>
    <w:rsid w:val="00B25462"/>
    <w:rsid w:val="00B330BD"/>
    <w:rsid w:val="00B366B3"/>
    <w:rsid w:val="00B4292F"/>
    <w:rsid w:val="00B57E8A"/>
    <w:rsid w:val="00B64119"/>
    <w:rsid w:val="00B75106"/>
    <w:rsid w:val="00B900A0"/>
    <w:rsid w:val="00B94C5D"/>
    <w:rsid w:val="00BA18DF"/>
    <w:rsid w:val="00BA4B6B"/>
    <w:rsid w:val="00BA4D1B"/>
    <w:rsid w:val="00BA5BB7"/>
    <w:rsid w:val="00BB00D0"/>
    <w:rsid w:val="00BB55EC"/>
    <w:rsid w:val="00BC1B42"/>
    <w:rsid w:val="00BC3CCE"/>
    <w:rsid w:val="00BD60E2"/>
    <w:rsid w:val="00BF784C"/>
    <w:rsid w:val="00C1184B"/>
    <w:rsid w:val="00C21D14"/>
    <w:rsid w:val="00C24CF7"/>
    <w:rsid w:val="00C42ECB"/>
    <w:rsid w:val="00C52A77"/>
    <w:rsid w:val="00C75B9D"/>
    <w:rsid w:val="00C820B0"/>
    <w:rsid w:val="00C90B05"/>
    <w:rsid w:val="00C9460A"/>
    <w:rsid w:val="00CC6EF3"/>
    <w:rsid w:val="00CD2697"/>
    <w:rsid w:val="00CD6AEC"/>
    <w:rsid w:val="00CE6849"/>
    <w:rsid w:val="00CF4BBE"/>
    <w:rsid w:val="00CF5731"/>
    <w:rsid w:val="00CF6CB5"/>
    <w:rsid w:val="00D10224"/>
    <w:rsid w:val="00D419CF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066D"/>
    <w:rsid w:val="00E41364"/>
    <w:rsid w:val="00E61AB4"/>
    <w:rsid w:val="00E70517"/>
    <w:rsid w:val="00E870D1"/>
    <w:rsid w:val="00EC0F9D"/>
    <w:rsid w:val="00ED3326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B39B0BB-9AC4-46F5-B3D1-EB9C56CB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5608F-AF52-49F2-B58C-1445CDDD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930</Words>
  <Characters>5306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6224</CharactersWithSpaces>
  <SharedDoc>false</SharedDoc>
  <HyperlinkBase/>
  <HLinks>
    <vt:vector size="24" baseType="variant">
      <vt:variant>
        <vt:i4>7536718</vt:i4>
      </vt:variant>
      <vt:variant>
        <vt:i4>9</vt:i4>
      </vt:variant>
      <vt:variant>
        <vt:i4>0</vt:i4>
      </vt:variant>
      <vt:variant>
        <vt:i4>5</vt:i4>
      </vt:variant>
      <vt:variant>
        <vt:lpwstr>mailto:editorial@elifesciences.org</vt:lpwstr>
      </vt:variant>
      <vt:variant>
        <vt:lpwstr/>
      </vt:variant>
      <vt:variant>
        <vt:i4>12</vt:i4>
      </vt:variant>
      <vt:variant>
        <vt:i4>6</vt:i4>
      </vt:variant>
      <vt:variant>
        <vt:i4>0</vt:i4>
      </vt:variant>
      <vt:variant>
        <vt:i4>5</vt:i4>
      </vt:variant>
      <vt:variant>
        <vt:lpwstr>http://www.plosbiology.org/article/info:doi/10.1371/journal.pbio.1000412</vt:lpwstr>
      </vt:variant>
      <vt:variant>
        <vt:lpwstr/>
      </vt:variant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https://biosharing.org/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http://www.equator-network.org/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cp:lastModifiedBy>Sivakumar, Sruthi</cp:lastModifiedBy>
  <cp:revision>6</cp:revision>
  <dcterms:created xsi:type="dcterms:W3CDTF">2021-03-09T22:51:00Z</dcterms:created>
  <dcterms:modified xsi:type="dcterms:W3CDTF">2021-03-09T23:21:00Z</dcterms:modified>
</cp:coreProperties>
</file>