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EDC" w:rsidRPr="00FA38E8" w:rsidRDefault="00916EDC" w:rsidP="00916EDC">
      <w:pPr>
        <w:autoSpaceDE w:val="0"/>
        <w:autoSpaceDN w:val="0"/>
        <w:adjustRightInd w:val="0"/>
        <w:spacing w:before="240"/>
        <w:rPr>
          <w:b/>
          <w:bCs w:val="0"/>
          <w:shd w:val="clear" w:color="auto" w:fill="FFFFFF"/>
          <w:lang w:val="vi-VN"/>
        </w:rPr>
      </w:pPr>
      <w:r w:rsidRPr="00916EDC">
        <w:rPr>
          <w:b/>
          <w:bCs w:val="0"/>
          <w:shd w:val="clear" w:color="auto" w:fill="FFFFFF"/>
        </w:rPr>
        <w:t>Supplementary File 2</w:t>
      </w:r>
      <w:r>
        <w:rPr>
          <w:b/>
          <w:bCs w:val="0"/>
          <w:shd w:val="clear" w:color="auto" w:fill="FFFFFF"/>
        </w:rPr>
        <w:t>:</w:t>
      </w:r>
      <w:bookmarkStart w:id="0" w:name="_GoBack"/>
      <w:bookmarkEnd w:id="0"/>
      <w:r w:rsidRPr="00916EDC">
        <w:rPr>
          <w:b/>
          <w:bCs w:val="0"/>
          <w:shd w:val="clear" w:color="auto" w:fill="FFFFFF"/>
        </w:rPr>
        <w:t xml:space="preserve"> </w:t>
      </w:r>
      <w:r>
        <w:rPr>
          <w:b/>
          <w:bCs w:val="0"/>
          <w:shd w:val="clear" w:color="auto" w:fill="FFFFFF"/>
        </w:rPr>
        <w:t>Transition between health states</w:t>
      </w:r>
      <w:r>
        <w:rPr>
          <w:b/>
          <w:bCs w:val="0"/>
          <w:shd w:val="clear" w:color="auto" w:fill="FFFFFF"/>
          <w:lang w:val="vi-VN"/>
        </w:rPr>
        <w:t xml:space="preserve"> during the study period</w:t>
      </w:r>
      <w:r>
        <w:rPr>
          <w:b/>
          <w:bCs w:val="0"/>
          <w:shd w:val="clear" w:color="auto" w:fill="FFFFFF"/>
        </w:rPr>
        <w:t>:</w:t>
      </w:r>
      <w:r>
        <w:rPr>
          <w:b/>
          <w:bCs w:val="0"/>
          <w:shd w:val="clear" w:color="auto" w:fill="FFFFFF"/>
          <w:lang w:val="vi-VN"/>
        </w:rPr>
        <w:t xml:space="preserve"> actual number of </w:t>
      </w:r>
      <w:r w:rsidRPr="00FA38E8">
        <w:rPr>
          <w:b/>
          <w:bCs w:val="0"/>
          <w:shd w:val="clear" w:color="auto" w:fill="FFFFFF"/>
          <w:lang w:val="vi-VN"/>
        </w:rPr>
        <w:t xml:space="preserve">individuals and probability for </w:t>
      </w:r>
      <w:r w:rsidRPr="00FA38E8">
        <w:rPr>
          <w:b/>
          <w:bCs w:val="0"/>
          <w:shd w:val="clear" w:color="auto" w:fill="FFFFFF"/>
        </w:rPr>
        <w:t>2046 women and 1205 men</w:t>
      </w:r>
      <w:r w:rsidRPr="00FA38E8">
        <w:rPr>
          <w:b/>
          <w:bCs w:val="0"/>
          <w:shd w:val="clear" w:color="auto" w:fill="FFFFFF"/>
          <w:lang w:val="vi-VN"/>
        </w:rPr>
        <w:t xml:space="preserve"> </w:t>
      </w:r>
    </w:p>
    <w:p w:rsidR="00916EDC" w:rsidRPr="00FA38E8" w:rsidRDefault="00916EDC" w:rsidP="00916EDC">
      <w:pPr>
        <w:autoSpaceDE w:val="0"/>
        <w:autoSpaceDN w:val="0"/>
        <w:adjustRightInd w:val="0"/>
        <w:spacing w:before="240"/>
        <w:rPr>
          <w:b/>
          <w:bCs w:val="0"/>
          <w:shd w:val="clear" w:color="auto" w:fill="FFFFFF"/>
        </w:rPr>
      </w:pPr>
    </w:p>
    <w:tbl>
      <w:tblPr>
        <w:tblStyle w:val="TableGridLight1"/>
        <w:tblW w:w="935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297"/>
        <w:gridCol w:w="1299"/>
        <w:gridCol w:w="1299"/>
        <w:gridCol w:w="1299"/>
        <w:gridCol w:w="2074"/>
      </w:tblGrid>
      <w:tr w:rsidR="00916EDC" w:rsidRPr="00FA38E8" w:rsidTr="00D675BE">
        <w:trPr>
          <w:trHeight w:val="504"/>
        </w:trPr>
        <w:tc>
          <w:tcPr>
            <w:tcW w:w="20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</w:p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  <w:r w:rsidRPr="00FA38E8">
              <w:rPr>
                <w:b/>
                <w:bCs w:val="0"/>
                <w:shd w:val="clear" w:color="auto" w:fill="FFFFFF"/>
              </w:rPr>
              <w:t xml:space="preserve">From </w:t>
            </w:r>
          </w:p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</w:p>
        </w:tc>
        <w:tc>
          <w:tcPr>
            <w:tcW w:w="7268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jc w:val="center"/>
              <w:rPr>
                <w:b/>
                <w:bCs w:val="0"/>
                <w:shd w:val="clear" w:color="auto" w:fill="FFFFFF"/>
              </w:rPr>
            </w:pPr>
            <w:r w:rsidRPr="00FA38E8">
              <w:rPr>
                <w:b/>
                <w:bCs w:val="0"/>
                <w:shd w:val="clear" w:color="auto" w:fill="FFFFFF"/>
              </w:rPr>
              <w:t>To</w:t>
            </w:r>
          </w:p>
        </w:tc>
      </w:tr>
      <w:tr w:rsidR="00916EDC" w:rsidRPr="00FA38E8" w:rsidTr="00D675BE">
        <w:trPr>
          <w:trHeight w:val="504"/>
        </w:trPr>
        <w:tc>
          <w:tcPr>
            <w:tcW w:w="208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</w:p>
        </w:tc>
        <w:tc>
          <w:tcPr>
            <w:tcW w:w="1297" w:type="dxa"/>
            <w:tcBorders>
              <w:bottom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  <w:r w:rsidRPr="00FA38E8">
              <w:rPr>
                <w:b/>
                <w:bCs w:val="0"/>
                <w:shd w:val="clear" w:color="auto" w:fill="FFFFFF"/>
              </w:rPr>
              <w:t>No fracture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  <w:r w:rsidRPr="00FA38E8">
              <w:rPr>
                <w:b/>
                <w:bCs w:val="0"/>
                <w:shd w:val="clear" w:color="auto" w:fill="FFFFFF"/>
              </w:rPr>
              <w:t>Initial fracture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  <w:r w:rsidRPr="00FA38E8">
              <w:rPr>
                <w:b/>
                <w:bCs w:val="0"/>
                <w:shd w:val="clear" w:color="auto" w:fill="FFFFFF"/>
              </w:rPr>
              <w:t>Second fracture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  <w:r w:rsidRPr="00FA38E8">
              <w:rPr>
                <w:b/>
                <w:bCs w:val="0"/>
                <w:shd w:val="clear" w:color="auto" w:fill="FFFFFF"/>
              </w:rPr>
              <w:t>Third</w:t>
            </w:r>
            <w:r w:rsidRPr="00FA38E8">
              <w:rPr>
                <w:b/>
                <w:bCs w:val="0"/>
                <w:shd w:val="clear" w:color="auto" w:fill="FFFFFF"/>
                <w:lang w:val="vi-VN"/>
              </w:rPr>
              <w:t xml:space="preserve"> &amp; further </w:t>
            </w:r>
            <w:r w:rsidRPr="00FA38E8">
              <w:rPr>
                <w:b/>
                <w:bCs w:val="0"/>
                <w:shd w:val="clear" w:color="auto" w:fill="FFFFFF"/>
              </w:rPr>
              <w:t xml:space="preserve"> fracture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/>
                <w:bCs w:val="0"/>
                <w:shd w:val="clear" w:color="auto" w:fill="FFFFFF"/>
              </w:rPr>
            </w:pPr>
            <w:r w:rsidRPr="00FA38E8">
              <w:rPr>
                <w:b/>
                <w:bCs w:val="0"/>
                <w:shd w:val="clear" w:color="auto" w:fill="FFFFFF"/>
              </w:rPr>
              <w:t>Death</w:t>
            </w:r>
          </w:p>
        </w:tc>
      </w:tr>
      <w:tr w:rsidR="00916EDC" w:rsidRPr="00FA38E8" w:rsidTr="00D675BE">
        <w:trPr>
          <w:trHeight w:val="392"/>
        </w:trPr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spacing w:line="288" w:lineRule="auto"/>
              <w:rPr>
                <w:b/>
                <w:bCs w:val="0"/>
                <w:color w:val="FF0000"/>
                <w:shd w:val="clear" w:color="auto" w:fill="FFFFFF"/>
              </w:rPr>
            </w:pPr>
            <w:r w:rsidRPr="004B0B2E">
              <w:rPr>
                <w:b/>
                <w:color w:val="FF0000"/>
                <w:shd w:val="clear" w:color="auto" w:fill="FFFFFF"/>
              </w:rPr>
              <w:t>Women (n=2046)</w:t>
            </w:r>
          </w:p>
        </w:tc>
        <w:tc>
          <w:tcPr>
            <w:tcW w:w="1297" w:type="dxa"/>
            <w:tcBorders>
              <w:top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1299" w:type="dxa"/>
            <w:tcBorders>
              <w:top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2074" w:type="dxa"/>
            <w:tcBorders>
              <w:top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  <w:r w:rsidRPr="004B0B2E">
              <w:rPr>
                <w:rFonts w:eastAsia="MS PGothic"/>
                <w:color w:val="FF0000"/>
                <w:kern w:val="24"/>
              </w:rPr>
              <w:t>627 (31)</w:t>
            </w:r>
          </w:p>
        </w:tc>
      </w:tr>
      <w:tr w:rsidR="00916EDC" w:rsidRPr="00FA38E8" w:rsidTr="00D675BE">
        <w:trPr>
          <w:trHeight w:val="665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Cs w:val="0"/>
                <w:shd w:val="clear" w:color="auto" w:fill="FFFFFF"/>
              </w:rPr>
            </w:pPr>
            <w:r w:rsidRPr="00FA38E8">
              <w:rPr>
                <w:bCs w:val="0"/>
                <w:shd w:val="clear" w:color="auto" w:fill="FFFFFF"/>
              </w:rPr>
              <w:t>No fracture</w:t>
            </w:r>
          </w:p>
          <w:p w:rsidR="00916EDC" w:rsidRPr="00FA38E8" w:rsidRDefault="00916EDC" w:rsidP="00D675BE">
            <w:pPr>
              <w:spacing w:line="288" w:lineRule="auto"/>
              <w:rPr>
                <w:bCs w:val="0"/>
                <w:shd w:val="clear" w:color="auto" w:fill="FFFFFF"/>
              </w:rPr>
            </w:pPr>
            <w:r w:rsidRPr="00FA38E8">
              <w:rPr>
                <w:bCs w:val="0"/>
                <w:shd w:val="clear" w:color="auto" w:fill="FFFFFF"/>
              </w:rPr>
              <w:t>(n=2046)</w:t>
            </w:r>
          </w:p>
        </w:tc>
        <w:tc>
          <w:tcPr>
            <w:tcW w:w="1297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1049 (51)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632 (</w:t>
            </w:r>
            <w:r w:rsidRPr="00FA38E8">
              <w:rPr>
                <w:rFonts w:eastAsia="MS PGothic"/>
                <w:b/>
                <w:bCs/>
                <w:kern w:val="24"/>
              </w:rPr>
              <w:t>31</w:t>
            </w:r>
            <w:r w:rsidRPr="00FA38E8">
              <w:rPr>
                <w:rFonts w:eastAsia="MS PGothic"/>
                <w:bCs/>
                <w:kern w:val="24"/>
              </w:rPr>
              <w:t>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-</w:t>
            </w:r>
          </w:p>
        </w:tc>
        <w:tc>
          <w:tcPr>
            <w:tcW w:w="2074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365 (18)</w:t>
            </w:r>
          </w:p>
        </w:tc>
      </w:tr>
      <w:tr w:rsidR="00916EDC" w:rsidRPr="00FA38E8" w:rsidTr="00D675BE">
        <w:trPr>
          <w:trHeight w:val="702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Initial fracture</w:t>
            </w:r>
          </w:p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(n=632)</w:t>
            </w:r>
          </w:p>
        </w:tc>
        <w:tc>
          <w:tcPr>
            <w:tcW w:w="1297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247 (39)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229 (</w:t>
            </w:r>
            <w:r w:rsidRPr="00FA38E8">
              <w:rPr>
                <w:rFonts w:eastAsia="MS PGothic"/>
                <w:b/>
                <w:kern w:val="24"/>
              </w:rPr>
              <w:t>36</w:t>
            </w:r>
            <w:r w:rsidRPr="00FA38E8">
              <w:rPr>
                <w:rFonts w:eastAsia="MS PGothic"/>
                <w:kern w:val="24"/>
              </w:rPr>
              <w:t>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-</w:t>
            </w:r>
          </w:p>
        </w:tc>
        <w:tc>
          <w:tcPr>
            <w:tcW w:w="2074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156 (25)</w:t>
            </w:r>
          </w:p>
        </w:tc>
      </w:tr>
      <w:tr w:rsidR="00916EDC" w:rsidRPr="00FA38E8" w:rsidTr="00D675BE">
        <w:trPr>
          <w:trHeight w:val="698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Second fracture</w:t>
            </w:r>
          </w:p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(n=229)</w:t>
            </w:r>
          </w:p>
        </w:tc>
        <w:tc>
          <w:tcPr>
            <w:tcW w:w="1297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83 (36)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86 (</w:t>
            </w:r>
            <w:r w:rsidRPr="00FA38E8">
              <w:rPr>
                <w:rFonts w:eastAsia="MS PGothic"/>
                <w:b/>
                <w:kern w:val="24"/>
              </w:rPr>
              <w:t>38</w:t>
            </w:r>
            <w:r w:rsidRPr="00FA38E8">
              <w:rPr>
                <w:rFonts w:eastAsia="MS PGothic"/>
                <w:kern w:val="24"/>
              </w:rPr>
              <w:t>)</w:t>
            </w:r>
          </w:p>
        </w:tc>
        <w:tc>
          <w:tcPr>
            <w:tcW w:w="2074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60 (26)</w:t>
            </w:r>
          </w:p>
        </w:tc>
      </w:tr>
      <w:tr w:rsidR="00916EDC" w:rsidRPr="00FA38E8" w:rsidTr="00D675BE">
        <w:trPr>
          <w:trHeight w:val="695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Third</w:t>
            </w:r>
            <w:r w:rsidRPr="004B0B2E">
              <w:rPr>
                <w:shd w:val="clear" w:color="auto" w:fill="FFFFFF"/>
                <w:lang w:val="en-AU"/>
              </w:rPr>
              <w:t xml:space="preserve"> &amp; further </w:t>
            </w:r>
            <w:r w:rsidRPr="00FA38E8">
              <w:rPr>
                <w:shd w:val="clear" w:color="auto" w:fill="FFFFFF"/>
              </w:rPr>
              <w:t xml:space="preserve"> fracture (n=86)</w:t>
            </w:r>
          </w:p>
        </w:tc>
        <w:tc>
          <w:tcPr>
            <w:tcW w:w="1297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4B0B2E">
              <w:rPr>
                <w:rFonts w:eastAsiaTheme="minorHAnsi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4B0B2E">
              <w:rPr>
                <w:rFonts w:eastAsiaTheme="minorHAnsi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4B0B2E">
              <w:rPr>
                <w:rFonts w:eastAsiaTheme="minorHAnsi"/>
                <w:shd w:val="clear" w:color="auto" w:fill="FFFFFF"/>
                <w:lang w:eastAsia="en-US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4B0B2E">
              <w:rPr>
                <w:rFonts w:eastAsiaTheme="minorHAnsi"/>
                <w:shd w:val="clear" w:color="auto" w:fill="FFFFFF"/>
                <w:lang w:eastAsia="en-US"/>
              </w:rPr>
              <w:t>40 (0.47)</w:t>
            </w:r>
          </w:p>
        </w:tc>
        <w:tc>
          <w:tcPr>
            <w:tcW w:w="2074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shd w:val="clear" w:color="auto" w:fill="FFFFFF"/>
                <w:lang w:eastAsia="en-US"/>
              </w:rPr>
            </w:pPr>
            <w:r w:rsidRPr="004B0B2E">
              <w:rPr>
                <w:rFonts w:eastAsiaTheme="minorHAnsi"/>
                <w:shd w:val="clear" w:color="auto" w:fill="FFFFFF"/>
                <w:lang w:eastAsia="en-US"/>
              </w:rPr>
              <w:t>46 (53)</w:t>
            </w:r>
          </w:p>
        </w:tc>
      </w:tr>
      <w:tr w:rsidR="00916EDC" w:rsidRPr="00FA38E8" w:rsidTr="00D675BE">
        <w:trPr>
          <w:trHeight w:val="695"/>
        </w:trPr>
        <w:tc>
          <w:tcPr>
            <w:tcW w:w="2088" w:type="dxa"/>
            <w:shd w:val="clear" w:color="auto" w:fill="auto"/>
          </w:tcPr>
          <w:p w:rsidR="00916EDC" w:rsidRPr="004B0B2E" w:rsidRDefault="00916EDC" w:rsidP="00D675BE">
            <w:pPr>
              <w:spacing w:line="288" w:lineRule="auto"/>
              <w:ind w:left="32"/>
              <w:rPr>
                <w:bCs w:val="0"/>
                <w:color w:val="FF0000"/>
                <w:shd w:val="clear" w:color="auto" w:fill="FFFFFF"/>
              </w:rPr>
            </w:pPr>
            <w:r w:rsidRPr="004B0B2E">
              <w:rPr>
                <w:color w:val="FF0000"/>
                <w:shd w:val="clear" w:color="auto" w:fill="FFFFFF"/>
              </w:rPr>
              <w:t>Total fracture</w:t>
            </w:r>
          </w:p>
          <w:p w:rsidR="00916EDC" w:rsidRPr="004B0B2E" w:rsidRDefault="00916EDC" w:rsidP="00D675BE">
            <w:pPr>
              <w:spacing w:line="288" w:lineRule="auto"/>
              <w:ind w:left="32"/>
              <w:rPr>
                <w:bCs w:val="0"/>
                <w:color w:val="FF0000"/>
                <w:shd w:val="clear" w:color="auto" w:fill="FFFFFF"/>
              </w:rPr>
            </w:pPr>
            <w:r w:rsidRPr="004B0B2E">
              <w:rPr>
                <w:color w:val="FF0000"/>
                <w:shd w:val="clear" w:color="auto" w:fill="FFFFFF"/>
              </w:rPr>
              <w:t>(n=632)</w:t>
            </w:r>
          </w:p>
        </w:tc>
        <w:tc>
          <w:tcPr>
            <w:tcW w:w="1297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color w:val="FF0000"/>
                <w:shd w:val="clear" w:color="auto" w:fill="FFFFFF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Theme="minorHAnsi"/>
                <w:color w:val="FF0000"/>
                <w:shd w:val="clear" w:color="auto" w:fill="FFFFFF"/>
                <w:lang w:eastAsia="en-US"/>
              </w:rPr>
            </w:pPr>
            <w:r w:rsidRPr="004B0B2E">
              <w:rPr>
                <w:rFonts w:eastAsiaTheme="minorHAnsi"/>
                <w:color w:val="FF0000"/>
                <w:shd w:val="clear" w:color="auto" w:fill="FFFFFF"/>
                <w:lang w:eastAsia="en-US"/>
              </w:rPr>
              <w:t>262 (42)</w:t>
            </w:r>
          </w:p>
        </w:tc>
      </w:tr>
      <w:tr w:rsidR="00916EDC" w:rsidRPr="00FA38E8" w:rsidTr="00D675BE">
        <w:trPr>
          <w:trHeight w:val="695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Cs w:val="0"/>
                <w:shd w:val="clear" w:color="auto" w:fill="FFFFFF"/>
              </w:rPr>
            </w:pPr>
          </w:p>
        </w:tc>
        <w:tc>
          <w:tcPr>
            <w:tcW w:w="1297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kern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kern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kern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kern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kern w:val="24"/>
              </w:rPr>
            </w:pPr>
          </w:p>
        </w:tc>
      </w:tr>
      <w:tr w:rsidR="00916EDC" w:rsidRPr="00FA38E8" w:rsidTr="00D675BE">
        <w:trPr>
          <w:trHeight w:val="377"/>
        </w:trPr>
        <w:tc>
          <w:tcPr>
            <w:tcW w:w="2088" w:type="dxa"/>
            <w:shd w:val="clear" w:color="auto" w:fill="auto"/>
          </w:tcPr>
          <w:p w:rsidR="00916EDC" w:rsidRPr="004B0B2E" w:rsidRDefault="00916EDC" w:rsidP="00D675BE">
            <w:pPr>
              <w:spacing w:line="288" w:lineRule="auto"/>
              <w:rPr>
                <w:b/>
                <w:bCs w:val="0"/>
                <w:color w:val="FF0000"/>
                <w:shd w:val="clear" w:color="auto" w:fill="FFFFFF"/>
              </w:rPr>
            </w:pPr>
            <w:r w:rsidRPr="004B0B2E">
              <w:rPr>
                <w:b/>
                <w:color w:val="FF0000"/>
                <w:shd w:val="clear" w:color="auto" w:fill="FFFFFF"/>
              </w:rPr>
              <w:t>Men (n=1205)</w:t>
            </w:r>
          </w:p>
        </w:tc>
        <w:tc>
          <w:tcPr>
            <w:tcW w:w="1297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</w:p>
        </w:tc>
        <w:tc>
          <w:tcPr>
            <w:tcW w:w="2074" w:type="dxa"/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bCs/>
                <w:color w:val="FF0000"/>
                <w:kern w:val="24"/>
              </w:rPr>
            </w:pPr>
            <w:r w:rsidRPr="004B0B2E">
              <w:rPr>
                <w:rFonts w:eastAsia="MS PGothic"/>
                <w:color w:val="FF0000"/>
                <w:kern w:val="24"/>
              </w:rPr>
              <w:t>501 (42)</w:t>
            </w:r>
          </w:p>
        </w:tc>
      </w:tr>
      <w:tr w:rsidR="00916EDC" w:rsidRPr="00FA38E8" w:rsidTr="00D675BE">
        <w:trPr>
          <w:trHeight w:val="557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rPr>
                <w:bCs w:val="0"/>
                <w:shd w:val="clear" w:color="auto" w:fill="FFFFFF"/>
              </w:rPr>
            </w:pPr>
            <w:r w:rsidRPr="00FA38E8">
              <w:rPr>
                <w:bCs w:val="0"/>
                <w:shd w:val="clear" w:color="auto" w:fill="FFFFFF"/>
              </w:rPr>
              <w:t>No fracture</w:t>
            </w:r>
          </w:p>
          <w:p w:rsidR="00916EDC" w:rsidRPr="00FA38E8" w:rsidRDefault="00916EDC" w:rsidP="00D675BE">
            <w:pPr>
              <w:spacing w:line="288" w:lineRule="auto"/>
              <w:rPr>
                <w:bCs w:val="0"/>
                <w:shd w:val="clear" w:color="auto" w:fill="FFFFFF"/>
              </w:rPr>
            </w:pPr>
            <w:r w:rsidRPr="00FA38E8">
              <w:rPr>
                <w:bCs w:val="0"/>
                <w:shd w:val="clear" w:color="auto" w:fill="FFFFFF"/>
              </w:rPr>
              <w:t>(n=1205)</w:t>
            </w:r>
          </w:p>
        </w:tc>
        <w:tc>
          <w:tcPr>
            <w:tcW w:w="1297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625 (52)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184 (</w:t>
            </w:r>
            <w:r w:rsidRPr="00FA38E8">
              <w:rPr>
                <w:rFonts w:eastAsia="MS PGothic"/>
                <w:b/>
                <w:bCs/>
                <w:kern w:val="24"/>
              </w:rPr>
              <w:t>15</w:t>
            </w:r>
            <w:r w:rsidRPr="00FA38E8">
              <w:rPr>
                <w:rFonts w:eastAsia="MS PGothic"/>
                <w:bCs/>
                <w:kern w:val="24"/>
              </w:rPr>
              <w:t>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-</w:t>
            </w:r>
          </w:p>
        </w:tc>
        <w:tc>
          <w:tcPr>
            <w:tcW w:w="2074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bCs/>
                <w:kern w:val="24"/>
              </w:rPr>
              <w:t>396 (33)</w:t>
            </w:r>
          </w:p>
        </w:tc>
      </w:tr>
      <w:tr w:rsidR="00916EDC" w:rsidRPr="00FA38E8" w:rsidTr="00D675BE">
        <w:trPr>
          <w:trHeight w:val="623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Initial fracture</w:t>
            </w:r>
          </w:p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(n=184)</w:t>
            </w:r>
          </w:p>
        </w:tc>
        <w:tc>
          <w:tcPr>
            <w:tcW w:w="1297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68 (37)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41 (</w:t>
            </w:r>
            <w:r w:rsidRPr="00FA38E8">
              <w:rPr>
                <w:rFonts w:eastAsia="MS PGothic"/>
                <w:b/>
                <w:kern w:val="24"/>
              </w:rPr>
              <w:t>22</w:t>
            </w:r>
            <w:r w:rsidRPr="00FA38E8">
              <w:rPr>
                <w:rFonts w:eastAsia="MS PGothic"/>
                <w:kern w:val="24"/>
              </w:rPr>
              <w:t>)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-</w:t>
            </w:r>
          </w:p>
        </w:tc>
        <w:tc>
          <w:tcPr>
            <w:tcW w:w="2074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75 (41)</w:t>
            </w:r>
          </w:p>
        </w:tc>
      </w:tr>
      <w:tr w:rsidR="00916EDC" w:rsidRPr="00FA38E8" w:rsidTr="00D675BE">
        <w:trPr>
          <w:trHeight w:val="547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Second fracture</w:t>
            </w:r>
          </w:p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(n=41)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6 (15)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13 (</w:t>
            </w:r>
            <w:r w:rsidRPr="00FA38E8">
              <w:rPr>
                <w:rFonts w:eastAsia="MS PGothic"/>
                <w:b/>
                <w:kern w:val="24"/>
              </w:rPr>
              <w:t>32</w:t>
            </w:r>
            <w:r w:rsidRPr="00FA38E8">
              <w:rPr>
                <w:rFonts w:eastAsia="MS PGothic"/>
                <w:kern w:val="24"/>
              </w:rPr>
              <w:t>)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22 (54)</w:t>
            </w:r>
          </w:p>
        </w:tc>
      </w:tr>
      <w:tr w:rsidR="00916EDC" w:rsidRPr="00FA38E8" w:rsidTr="00D675BE">
        <w:trPr>
          <w:trHeight w:val="723"/>
        </w:trPr>
        <w:tc>
          <w:tcPr>
            <w:tcW w:w="2088" w:type="dxa"/>
            <w:shd w:val="clear" w:color="auto" w:fill="auto"/>
          </w:tcPr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Third</w:t>
            </w:r>
            <w:r w:rsidRPr="004B0B2E">
              <w:rPr>
                <w:shd w:val="clear" w:color="auto" w:fill="FFFFFF"/>
                <w:lang w:val="en-AU"/>
              </w:rPr>
              <w:t xml:space="preserve"> &amp; further f</w:t>
            </w:r>
            <w:r w:rsidRPr="00FA38E8">
              <w:rPr>
                <w:shd w:val="clear" w:color="auto" w:fill="FFFFFF"/>
              </w:rPr>
              <w:t xml:space="preserve">fracture </w:t>
            </w:r>
          </w:p>
          <w:p w:rsidR="00916EDC" w:rsidRPr="00FA38E8" w:rsidRDefault="00916EDC" w:rsidP="00D675BE">
            <w:pPr>
              <w:spacing w:line="288" w:lineRule="auto"/>
              <w:ind w:left="32"/>
              <w:rPr>
                <w:bCs w:val="0"/>
                <w:shd w:val="clear" w:color="auto" w:fill="FFFFFF"/>
              </w:rPr>
            </w:pPr>
            <w:r w:rsidRPr="00FA38E8">
              <w:rPr>
                <w:shd w:val="clear" w:color="auto" w:fill="FFFFFF"/>
              </w:rPr>
              <w:t>(n=13)</w:t>
            </w:r>
          </w:p>
        </w:tc>
        <w:tc>
          <w:tcPr>
            <w:tcW w:w="1297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5 (38)</w:t>
            </w:r>
          </w:p>
        </w:tc>
        <w:tc>
          <w:tcPr>
            <w:tcW w:w="2074" w:type="dxa"/>
            <w:shd w:val="clear" w:color="auto" w:fill="auto"/>
          </w:tcPr>
          <w:p w:rsidR="00916EDC" w:rsidRPr="00FA38E8" w:rsidRDefault="00916EDC" w:rsidP="00D675BE">
            <w:pPr>
              <w:pStyle w:val="NormalWeb"/>
              <w:spacing w:before="0" w:beforeAutospacing="0" w:after="0" w:afterAutospacing="0" w:line="288" w:lineRule="auto"/>
            </w:pPr>
            <w:r w:rsidRPr="00FA38E8">
              <w:rPr>
                <w:rFonts w:eastAsia="MS PGothic"/>
                <w:kern w:val="24"/>
              </w:rPr>
              <w:t>8 (</w:t>
            </w:r>
            <w:r w:rsidRPr="00FA38E8">
              <w:rPr>
                <w:rFonts w:eastAsia="MS PGothic"/>
                <w:b/>
                <w:kern w:val="24"/>
              </w:rPr>
              <w:t>62</w:t>
            </w:r>
            <w:r w:rsidRPr="00FA38E8">
              <w:rPr>
                <w:rFonts w:eastAsia="MS PGothic"/>
                <w:kern w:val="24"/>
              </w:rPr>
              <w:t>)</w:t>
            </w:r>
          </w:p>
        </w:tc>
      </w:tr>
      <w:tr w:rsidR="00916EDC" w:rsidRPr="00FA38E8" w:rsidTr="00D675BE">
        <w:trPr>
          <w:trHeight w:val="561"/>
        </w:trPr>
        <w:tc>
          <w:tcPr>
            <w:tcW w:w="2088" w:type="dxa"/>
            <w:tcBorders>
              <w:bottom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spacing w:line="288" w:lineRule="auto"/>
              <w:rPr>
                <w:bCs w:val="0"/>
                <w:color w:val="FF0000"/>
                <w:shd w:val="clear" w:color="auto" w:fill="FFFFFF"/>
              </w:rPr>
            </w:pPr>
            <w:r w:rsidRPr="004B0B2E">
              <w:rPr>
                <w:color w:val="FF0000"/>
                <w:shd w:val="clear" w:color="auto" w:fill="FFFFFF"/>
              </w:rPr>
              <w:t>Total fracture</w:t>
            </w:r>
          </w:p>
          <w:p w:rsidR="00916EDC" w:rsidRPr="004B0B2E" w:rsidRDefault="00916EDC" w:rsidP="00D675BE">
            <w:pPr>
              <w:spacing w:line="288" w:lineRule="auto"/>
              <w:rPr>
                <w:bCs w:val="0"/>
                <w:color w:val="FF0000"/>
                <w:shd w:val="clear" w:color="auto" w:fill="FFFFFF"/>
              </w:rPr>
            </w:pPr>
            <w:r w:rsidRPr="004B0B2E">
              <w:rPr>
                <w:color w:val="FF0000"/>
                <w:shd w:val="clear" w:color="auto" w:fill="FFFFFF"/>
              </w:rPr>
              <w:t>(=184)</w:t>
            </w:r>
          </w:p>
        </w:tc>
        <w:tc>
          <w:tcPr>
            <w:tcW w:w="1297" w:type="dxa"/>
            <w:tcBorders>
              <w:bottom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color w:val="FF0000"/>
                <w:kern w:val="24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color w:val="FF0000"/>
                <w:kern w:val="24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color w:val="FF0000"/>
                <w:kern w:val="24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color w:val="FF0000"/>
                <w:kern w:val="24"/>
              </w:rPr>
            </w:pPr>
          </w:p>
        </w:tc>
        <w:tc>
          <w:tcPr>
            <w:tcW w:w="2074" w:type="dxa"/>
            <w:tcBorders>
              <w:bottom w:val="single" w:sz="12" w:space="0" w:color="auto"/>
            </w:tcBorders>
            <w:shd w:val="clear" w:color="auto" w:fill="auto"/>
          </w:tcPr>
          <w:p w:rsidR="00916EDC" w:rsidRPr="004B0B2E" w:rsidRDefault="00916EDC" w:rsidP="00D675BE">
            <w:pPr>
              <w:pStyle w:val="NormalWeb"/>
              <w:spacing w:before="0" w:beforeAutospacing="0" w:after="0" w:afterAutospacing="0" w:line="288" w:lineRule="auto"/>
              <w:rPr>
                <w:rFonts w:eastAsia="MS PGothic"/>
                <w:color w:val="FF0000"/>
                <w:kern w:val="24"/>
              </w:rPr>
            </w:pPr>
            <w:r w:rsidRPr="004B0B2E">
              <w:rPr>
                <w:rFonts w:eastAsia="MS PGothic"/>
                <w:color w:val="FF0000"/>
                <w:kern w:val="24"/>
              </w:rPr>
              <w:t>105 (57)</w:t>
            </w:r>
          </w:p>
        </w:tc>
      </w:tr>
    </w:tbl>
    <w:p w:rsidR="00916EDC" w:rsidRPr="00FA38E8" w:rsidRDefault="00916EDC" w:rsidP="00916EDC">
      <w:pPr>
        <w:spacing w:before="120" w:line="288" w:lineRule="auto"/>
        <w:rPr>
          <w:bCs w:val="0"/>
          <w:shd w:val="clear" w:color="auto" w:fill="FFFFFF"/>
        </w:rPr>
      </w:pPr>
      <w:r w:rsidRPr="00FA38E8">
        <w:rPr>
          <w:b/>
          <w:shd w:val="clear" w:color="auto" w:fill="FFFFFF"/>
        </w:rPr>
        <w:t>Note</w:t>
      </w:r>
      <w:r w:rsidRPr="00FA38E8">
        <w:rPr>
          <w:bCs w:val="0"/>
          <w:shd w:val="clear" w:color="auto" w:fill="FFFFFF"/>
        </w:rPr>
        <w:t>:</w:t>
      </w:r>
      <w:r w:rsidRPr="00FA38E8">
        <w:rPr>
          <w:bCs w:val="0"/>
          <w:shd w:val="clear" w:color="auto" w:fill="FFFFFF"/>
          <w:lang w:val="vi-VN"/>
        </w:rPr>
        <w:t xml:space="preserve"> </w:t>
      </w:r>
      <w:r w:rsidRPr="00FA38E8">
        <w:rPr>
          <w:bCs w:val="0"/>
          <w:shd w:val="clear" w:color="auto" w:fill="FFFFFF"/>
        </w:rPr>
        <w:t>Data shown are the number</w:t>
      </w:r>
      <w:r w:rsidRPr="00FA38E8">
        <w:rPr>
          <w:bCs w:val="0"/>
          <w:shd w:val="clear" w:color="auto" w:fill="FFFFFF"/>
          <w:lang w:val="vi-VN"/>
        </w:rPr>
        <w:t xml:space="preserve"> of individuals</w:t>
      </w:r>
      <w:r w:rsidRPr="00FA38E8">
        <w:rPr>
          <w:bCs w:val="0"/>
          <w:shd w:val="clear" w:color="auto" w:fill="FFFFFF"/>
        </w:rPr>
        <w:t xml:space="preserve"> </w:t>
      </w:r>
      <w:r w:rsidRPr="00FA38E8">
        <w:rPr>
          <w:bCs w:val="0"/>
          <w:shd w:val="clear" w:color="auto" w:fill="FFFFFF"/>
          <w:lang w:val="vi-VN"/>
        </w:rPr>
        <w:t>(</w:t>
      </w:r>
      <w:r w:rsidRPr="00FA38E8">
        <w:rPr>
          <w:bCs w:val="0"/>
          <w:shd w:val="clear" w:color="auto" w:fill="FFFFFF"/>
        </w:rPr>
        <w:t>percentage in brackets</w:t>
      </w:r>
      <w:r w:rsidRPr="00FA38E8">
        <w:rPr>
          <w:bCs w:val="0"/>
          <w:shd w:val="clear" w:color="auto" w:fill="FFFFFF"/>
          <w:lang w:val="vi-VN"/>
        </w:rPr>
        <w:t>)</w:t>
      </w:r>
      <w:r w:rsidRPr="00FA38E8">
        <w:rPr>
          <w:bCs w:val="0"/>
          <w:shd w:val="clear" w:color="auto" w:fill="FFFFFF"/>
        </w:rPr>
        <w:t xml:space="preserve">. The sign </w:t>
      </w:r>
      <w:r w:rsidRPr="00FA38E8">
        <w:rPr>
          <w:bCs w:val="0"/>
          <w:shd w:val="clear" w:color="auto" w:fill="FFFFFF"/>
          <w:lang w:val="vi-VN"/>
        </w:rPr>
        <w:t>"</w:t>
      </w:r>
      <w:r w:rsidRPr="00FA38E8">
        <w:rPr>
          <w:bCs w:val="0"/>
          <w:shd w:val="clear" w:color="auto" w:fill="FFFFFF"/>
        </w:rPr>
        <w:t>–</w:t>
      </w:r>
      <w:r w:rsidRPr="00FA38E8">
        <w:rPr>
          <w:bCs w:val="0"/>
          <w:shd w:val="clear" w:color="auto" w:fill="FFFFFF"/>
          <w:lang w:val="vi-VN"/>
        </w:rPr>
        <w:t>"</w:t>
      </w:r>
      <w:r w:rsidRPr="00FA38E8">
        <w:rPr>
          <w:bCs w:val="0"/>
          <w:shd w:val="clear" w:color="auto" w:fill="FFFFFF"/>
        </w:rPr>
        <w:t xml:space="preserve"> in a state indicates that the transition to the state is shown in the next row. </w:t>
      </w:r>
    </w:p>
    <w:p w:rsidR="00916EDC" w:rsidRDefault="00916EDC"/>
    <w:sectPr w:rsidR="00916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C"/>
    <w:rsid w:val="0091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75E6"/>
  <w15:chartTrackingRefBased/>
  <w15:docId w15:val="{04FFFF67-52AB-4443-9CBD-4DE2882C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EDC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EDC"/>
    <w:pPr>
      <w:spacing w:before="100" w:beforeAutospacing="1" w:after="100" w:afterAutospacing="1"/>
    </w:pPr>
    <w:rPr>
      <w:rFonts w:eastAsia="Times New Roman"/>
      <w:bCs w:val="0"/>
      <w:lang w:val="en-US" w:eastAsia="en-AU"/>
    </w:rPr>
  </w:style>
  <w:style w:type="table" w:customStyle="1" w:styleId="TableGridLight1">
    <w:name w:val="Table Grid Light1"/>
    <w:basedOn w:val="TableNormal"/>
    <w:uiPriority w:val="40"/>
    <w:rsid w:val="00916EDC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Swinburne University of Techonology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 user</dc:creator>
  <cp:keywords/>
  <dc:description/>
  <cp:lastModifiedBy>MW user</cp:lastModifiedBy>
  <cp:revision>1</cp:revision>
  <dcterms:created xsi:type="dcterms:W3CDTF">2020-12-15T22:05:00Z</dcterms:created>
  <dcterms:modified xsi:type="dcterms:W3CDTF">2020-12-15T22:06:00Z</dcterms:modified>
</cp:coreProperties>
</file>