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B4" w:rsidRPr="00414063" w:rsidRDefault="00B573B4" w:rsidP="00B573B4">
      <w:pPr>
        <w:autoSpaceDE w:val="0"/>
        <w:autoSpaceDN w:val="0"/>
        <w:adjustRightInd w:val="0"/>
        <w:spacing w:before="240" w:line="360" w:lineRule="auto"/>
        <w:rPr>
          <w:b/>
          <w:bCs w:val="0"/>
          <w:shd w:val="clear" w:color="auto" w:fill="FFFFFF"/>
        </w:rPr>
      </w:pPr>
      <w:r w:rsidRPr="00414063">
        <w:rPr>
          <w:b/>
        </w:rPr>
        <w:t>Supplementary File 3</w:t>
      </w:r>
      <w:r w:rsidRPr="00414063">
        <w:rPr>
          <w:b/>
          <w:lang w:val="vi-VN"/>
        </w:rPr>
        <w:t>. F</w:t>
      </w:r>
      <w:r w:rsidRPr="00414063">
        <w:rPr>
          <w:b/>
          <w:bCs w:val="0"/>
          <w:shd w:val="clear" w:color="auto" w:fill="FFFFFF"/>
        </w:rPr>
        <w:t>ive-year probability</w:t>
      </w:r>
      <w:r w:rsidRPr="00414063">
        <w:rPr>
          <w:b/>
          <w:bCs w:val="0"/>
          <w:shd w:val="clear" w:color="auto" w:fill="FFFFFF"/>
          <w:lang w:val="vi-VN"/>
        </w:rPr>
        <w:t xml:space="preserve"> of </w:t>
      </w:r>
      <w:r w:rsidRPr="00414063">
        <w:rPr>
          <w:b/>
          <w:bCs w:val="0"/>
          <w:shd w:val="clear" w:color="auto" w:fill="FFFFFF"/>
        </w:rPr>
        <w:t>transition between states of bone health for women</w:t>
      </w:r>
      <w:r w:rsidRPr="00414063">
        <w:rPr>
          <w:b/>
          <w:bCs w:val="0"/>
          <w:shd w:val="clear" w:color="auto" w:fill="FFFFFF"/>
          <w:lang w:val="vi-VN"/>
        </w:rPr>
        <w:t xml:space="preserve"> and men </w:t>
      </w:r>
      <w:r w:rsidRPr="00414063">
        <w:rPr>
          <w:b/>
          <w:bCs w:val="0"/>
          <w:shd w:val="clear" w:color="auto" w:fill="FFFFFF"/>
        </w:rPr>
        <w:t>with femoral neck BMD T-score of 0 (normal) and -2.5 (osteoporosis)</w:t>
      </w:r>
      <w:bookmarkStart w:id="0" w:name="_GoBack"/>
      <w:bookmarkEnd w:id="0"/>
    </w:p>
    <w:p w:rsidR="00B573B4" w:rsidRPr="00414063" w:rsidRDefault="00B573B4" w:rsidP="00B573B4">
      <w:pPr>
        <w:autoSpaceDE w:val="0"/>
        <w:autoSpaceDN w:val="0"/>
        <w:adjustRightInd w:val="0"/>
        <w:spacing w:line="288" w:lineRule="auto"/>
        <w:rPr>
          <w:b/>
          <w:bCs w:val="0"/>
          <w:shd w:val="clear" w:color="auto" w:fill="FFFFFF"/>
          <w:lang w:val="vi-VN"/>
        </w:rPr>
      </w:pPr>
    </w:p>
    <w:p w:rsidR="00B573B4" w:rsidRPr="00414063" w:rsidRDefault="00B573B4" w:rsidP="00B573B4">
      <w:pPr>
        <w:autoSpaceDE w:val="0"/>
        <w:autoSpaceDN w:val="0"/>
        <w:adjustRightInd w:val="0"/>
        <w:spacing w:line="288" w:lineRule="auto"/>
        <w:rPr>
          <w:b/>
          <w:bCs w:val="0"/>
          <w:shd w:val="clear" w:color="auto" w:fill="FFFFFF"/>
        </w:rPr>
      </w:pPr>
      <w:r w:rsidRPr="00414063">
        <w:rPr>
          <w:b/>
          <w:bCs w:val="0"/>
          <w:shd w:val="clear" w:color="auto" w:fill="FFFFFF"/>
        </w:rPr>
        <w:t xml:space="preserve">Women </w:t>
      </w:r>
    </w:p>
    <w:tbl>
      <w:tblPr>
        <w:tblStyle w:val="PlainTable2"/>
        <w:tblW w:w="9686" w:type="dxa"/>
        <w:tblBorders>
          <w:top w:val="single" w:sz="12" w:space="0" w:color="7F7F7F" w:themeColor="text1" w:themeTint="80"/>
          <w:bottom w:val="single" w:sz="12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65"/>
        <w:gridCol w:w="1611"/>
        <w:gridCol w:w="1656"/>
        <w:gridCol w:w="1612"/>
        <w:gridCol w:w="1615"/>
        <w:gridCol w:w="1727"/>
      </w:tblGrid>
      <w:tr w:rsidR="00414063" w:rsidRPr="00414063" w:rsidTr="00D6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Merge w:val="restart"/>
            <w:tcBorders>
              <w:top w:val="single" w:sz="12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</w:p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  <w:r w:rsidRPr="00414063">
              <w:rPr>
                <w:b w:val="0"/>
                <w:bCs/>
                <w:shd w:val="clear" w:color="auto" w:fill="FFFFFF"/>
                <w:lang w:val="vi-VN"/>
              </w:rPr>
              <w:t xml:space="preserve">From 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hd w:val="clear" w:color="auto" w:fill="FFFFFF"/>
                <w:lang w:val="vi-VN"/>
              </w:rPr>
            </w:pPr>
            <w:r w:rsidRPr="00414063">
              <w:rPr>
                <w:b w:val="0"/>
                <w:bCs/>
                <w:shd w:val="clear" w:color="auto" w:fill="FFFFFF"/>
                <w:lang w:val="vi-VN"/>
              </w:rPr>
              <w:t xml:space="preserve">To </w:t>
            </w:r>
          </w:p>
        </w:tc>
      </w:tr>
      <w:tr w:rsidR="00414063" w:rsidRPr="00414063" w:rsidTr="00D6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Merge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</w:p>
        </w:tc>
        <w:tc>
          <w:tcPr>
            <w:tcW w:w="1611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  <w:lang w:val="vi-VN"/>
              </w:rPr>
              <w:t>No fracture</w:t>
            </w:r>
          </w:p>
        </w:tc>
        <w:tc>
          <w:tcPr>
            <w:tcW w:w="1656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>1</w:t>
            </w:r>
            <w:r w:rsidRPr="00414063">
              <w:rPr>
                <w:b/>
                <w:bCs/>
                <w:shd w:val="clear" w:color="auto" w:fill="FFFFFF"/>
                <w:vertAlign w:val="superscript"/>
              </w:rPr>
              <w:t>st</w:t>
            </w:r>
            <w:r w:rsidRPr="00414063">
              <w:rPr>
                <w:b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612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>2</w:t>
            </w:r>
            <w:r w:rsidRPr="00414063">
              <w:rPr>
                <w:b/>
                <w:bCs/>
                <w:shd w:val="clear" w:color="auto" w:fill="FFFFFF"/>
                <w:vertAlign w:val="superscript"/>
              </w:rPr>
              <w:t>nd</w:t>
            </w:r>
            <w:r w:rsidRPr="00414063">
              <w:rPr>
                <w:b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615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>3</w:t>
            </w:r>
            <w:r w:rsidRPr="00414063">
              <w:rPr>
                <w:b/>
                <w:bCs/>
                <w:shd w:val="clear" w:color="auto" w:fill="FFFFFF"/>
                <w:vertAlign w:val="superscript"/>
              </w:rPr>
              <w:t>rd</w:t>
            </w:r>
            <w:r w:rsidRPr="00414063">
              <w:rPr>
                <w:b/>
                <w:bCs/>
                <w:shd w:val="clear" w:color="auto" w:fill="FFFFFF"/>
              </w:rPr>
              <w:t xml:space="preserve"> fracture </w:t>
            </w:r>
          </w:p>
        </w:tc>
        <w:tc>
          <w:tcPr>
            <w:tcW w:w="1727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 xml:space="preserve">Death </w:t>
            </w:r>
          </w:p>
        </w:tc>
      </w:tr>
      <w:tr w:rsidR="00414063" w:rsidRPr="00414063" w:rsidTr="00D675BE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  <w:r w:rsidRPr="00414063">
              <w:rPr>
                <w:b w:val="0"/>
                <w:bCs/>
                <w:shd w:val="clear" w:color="auto" w:fill="FFFFFF"/>
                <w:lang w:val="vi-VN"/>
              </w:rPr>
              <w:t>No fracture</w:t>
            </w:r>
          </w:p>
        </w:tc>
        <w:tc>
          <w:tcPr>
            <w:tcW w:w="1611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85.6 / 74.4</w:t>
            </w:r>
          </w:p>
        </w:tc>
        <w:tc>
          <w:tcPr>
            <w:tcW w:w="1656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60.0 / 13.9</w:t>
            </w:r>
          </w:p>
        </w:tc>
        <w:tc>
          <w:tcPr>
            <w:tcW w:w="1612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0.4 / 2.2</w:t>
            </w:r>
          </w:p>
        </w:tc>
        <w:tc>
          <w:tcPr>
            <w:tcW w:w="1615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0.02 / 0.3</w:t>
            </w:r>
          </w:p>
        </w:tc>
        <w:tc>
          <w:tcPr>
            <w:tcW w:w="1727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8.0 / 9.2</w:t>
            </w:r>
          </w:p>
        </w:tc>
      </w:tr>
      <w:tr w:rsidR="00414063" w:rsidRPr="00414063" w:rsidTr="00D6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</w:rPr>
            </w:pPr>
            <w:r w:rsidRPr="00414063">
              <w:rPr>
                <w:b w:val="0"/>
                <w:bCs/>
                <w:shd w:val="clear" w:color="auto" w:fill="FFFFFF"/>
              </w:rPr>
              <w:t>1</w:t>
            </w:r>
            <w:r w:rsidRPr="00414063">
              <w:rPr>
                <w:b w:val="0"/>
                <w:bCs/>
                <w:shd w:val="clear" w:color="auto" w:fill="FFFFFF"/>
                <w:vertAlign w:val="superscript"/>
              </w:rPr>
              <w:t>st</w:t>
            </w:r>
            <w:r w:rsidRPr="00414063">
              <w:rPr>
                <w:b w:val="0"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611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656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80.0 / 63.1</w:t>
            </w:r>
          </w:p>
        </w:tc>
        <w:tc>
          <w:tcPr>
            <w:tcW w:w="1612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11.3 / 20.3</w:t>
            </w:r>
          </w:p>
        </w:tc>
        <w:tc>
          <w:tcPr>
            <w:tcW w:w="1615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0.9 / 4.3</w:t>
            </w:r>
          </w:p>
        </w:tc>
        <w:tc>
          <w:tcPr>
            <w:tcW w:w="1727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8.2 / 12.4</w:t>
            </w:r>
          </w:p>
        </w:tc>
      </w:tr>
      <w:tr w:rsidR="00414063" w:rsidRPr="00414063" w:rsidTr="00D675B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</w:rPr>
            </w:pPr>
            <w:r w:rsidRPr="00414063">
              <w:rPr>
                <w:b w:val="0"/>
                <w:bCs/>
                <w:shd w:val="clear" w:color="auto" w:fill="FFFFFF"/>
              </w:rPr>
              <w:t>2</w:t>
            </w:r>
            <w:r w:rsidRPr="00414063">
              <w:rPr>
                <w:b w:val="0"/>
                <w:bCs/>
                <w:shd w:val="clear" w:color="auto" w:fill="FFFFFF"/>
                <w:vertAlign w:val="superscript"/>
              </w:rPr>
              <w:t>nd</w:t>
            </w:r>
            <w:r w:rsidRPr="00414063">
              <w:rPr>
                <w:b w:val="0"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611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656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612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76.3 / 56.2</w:t>
            </w:r>
          </w:p>
        </w:tc>
        <w:tc>
          <w:tcPr>
            <w:tcW w:w="1615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11.4 / 24.5</w:t>
            </w:r>
          </w:p>
        </w:tc>
        <w:tc>
          <w:tcPr>
            <w:tcW w:w="1727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12.3 /19.3</w:t>
            </w:r>
          </w:p>
        </w:tc>
      </w:tr>
      <w:tr w:rsidR="00414063" w:rsidRPr="00414063" w:rsidTr="00D6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tcBorders>
              <w:bottom w:val="single" w:sz="12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</w:rPr>
            </w:pPr>
            <w:r w:rsidRPr="00414063">
              <w:rPr>
                <w:b w:val="0"/>
                <w:bCs/>
                <w:shd w:val="clear" w:color="auto" w:fill="FFFFFF"/>
              </w:rPr>
              <w:t>3</w:t>
            </w:r>
            <w:r w:rsidRPr="00414063">
              <w:rPr>
                <w:b w:val="0"/>
                <w:bCs/>
                <w:shd w:val="clear" w:color="auto" w:fill="FFFFFF"/>
                <w:vertAlign w:val="superscript"/>
              </w:rPr>
              <w:t>rd</w:t>
            </w:r>
            <w:r w:rsidRPr="00414063">
              <w:rPr>
                <w:b w:val="0"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611" w:type="dxa"/>
            <w:tcBorders>
              <w:bottom w:val="single" w:sz="12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38.4 / 60.8</w:t>
            </w:r>
          </w:p>
        </w:tc>
        <w:tc>
          <w:tcPr>
            <w:tcW w:w="1727" w:type="dxa"/>
            <w:tcBorders>
              <w:bottom w:val="single" w:sz="12" w:space="0" w:color="auto"/>
            </w:tcBorders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61.6 / 39.2</w:t>
            </w:r>
          </w:p>
        </w:tc>
      </w:tr>
    </w:tbl>
    <w:p w:rsidR="00B573B4" w:rsidRPr="00414063" w:rsidRDefault="00B573B4" w:rsidP="00B573B4">
      <w:pPr>
        <w:autoSpaceDE w:val="0"/>
        <w:autoSpaceDN w:val="0"/>
        <w:adjustRightInd w:val="0"/>
        <w:spacing w:line="288" w:lineRule="auto"/>
        <w:rPr>
          <w:b/>
          <w:bCs w:val="0"/>
          <w:shd w:val="clear" w:color="auto" w:fill="FFFFFF"/>
        </w:rPr>
      </w:pPr>
    </w:p>
    <w:p w:rsidR="00B573B4" w:rsidRPr="00414063" w:rsidRDefault="00B573B4" w:rsidP="00B573B4">
      <w:pPr>
        <w:autoSpaceDE w:val="0"/>
        <w:autoSpaceDN w:val="0"/>
        <w:adjustRightInd w:val="0"/>
        <w:spacing w:line="288" w:lineRule="auto"/>
        <w:rPr>
          <w:b/>
          <w:bCs w:val="0"/>
          <w:shd w:val="clear" w:color="auto" w:fill="FFFFFF"/>
        </w:rPr>
      </w:pPr>
      <w:r w:rsidRPr="00414063">
        <w:rPr>
          <w:b/>
          <w:bCs w:val="0"/>
          <w:shd w:val="clear" w:color="auto" w:fill="FFFFFF"/>
        </w:rPr>
        <w:t xml:space="preserve">Men </w:t>
      </w:r>
    </w:p>
    <w:tbl>
      <w:tblPr>
        <w:tblStyle w:val="PlainTable2"/>
        <w:tblW w:w="9639" w:type="dxa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37"/>
        <w:gridCol w:w="1576"/>
        <w:gridCol w:w="1577"/>
        <w:gridCol w:w="1577"/>
        <w:gridCol w:w="1771"/>
        <w:gridCol w:w="1701"/>
      </w:tblGrid>
      <w:tr w:rsidR="00414063" w:rsidRPr="00414063" w:rsidTr="00D6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vMerge w:val="restart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</w:p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  <w:r w:rsidRPr="00414063">
              <w:rPr>
                <w:b w:val="0"/>
                <w:bCs/>
                <w:shd w:val="clear" w:color="auto" w:fill="FFFFFF"/>
                <w:lang w:val="vi-VN"/>
              </w:rPr>
              <w:t xml:space="preserve">From </w:t>
            </w:r>
          </w:p>
        </w:tc>
        <w:tc>
          <w:tcPr>
            <w:tcW w:w="8202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hd w:val="clear" w:color="auto" w:fill="FFFFFF"/>
                <w:lang w:val="vi-VN"/>
              </w:rPr>
            </w:pPr>
            <w:r w:rsidRPr="00414063">
              <w:rPr>
                <w:b w:val="0"/>
                <w:bCs/>
                <w:shd w:val="clear" w:color="auto" w:fill="FFFFFF"/>
                <w:lang w:val="vi-VN"/>
              </w:rPr>
              <w:t xml:space="preserve">To </w:t>
            </w:r>
          </w:p>
        </w:tc>
      </w:tr>
      <w:tr w:rsidR="00414063" w:rsidRPr="00414063" w:rsidTr="00D6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vMerge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</w:p>
        </w:tc>
        <w:tc>
          <w:tcPr>
            <w:tcW w:w="1576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  <w:lang w:val="vi-VN"/>
              </w:rPr>
              <w:t>No fracture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>1</w:t>
            </w:r>
            <w:r w:rsidRPr="00414063">
              <w:rPr>
                <w:b/>
                <w:bCs/>
                <w:shd w:val="clear" w:color="auto" w:fill="FFFFFF"/>
                <w:vertAlign w:val="superscript"/>
              </w:rPr>
              <w:t>st</w:t>
            </w:r>
            <w:r w:rsidRPr="00414063">
              <w:rPr>
                <w:b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>2</w:t>
            </w:r>
            <w:r w:rsidRPr="00414063">
              <w:rPr>
                <w:b/>
                <w:bCs/>
                <w:shd w:val="clear" w:color="auto" w:fill="FFFFFF"/>
                <w:vertAlign w:val="superscript"/>
              </w:rPr>
              <w:t>nd</w:t>
            </w:r>
            <w:r w:rsidRPr="00414063">
              <w:rPr>
                <w:b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771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>3</w:t>
            </w:r>
            <w:r w:rsidRPr="00414063">
              <w:rPr>
                <w:b/>
                <w:bCs/>
                <w:shd w:val="clear" w:color="auto" w:fill="FFFFFF"/>
                <w:vertAlign w:val="superscript"/>
              </w:rPr>
              <w:t>rd</w:t>
            </w:r>
            <w:r w:rsidRPr="00414063">
              <w:rPr>
                <w:b/>
                <w:bCs/>
                <w:shd w:val="clear" w:color="auto" w:fill="FFFFFF"/>
              </w:rPr>
              <w:t xml:space="preserve"> fracture 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414063">
              <w:rPr>
                <w:b/>
                <w:bCs/>
                <w:shd w:val="clear" w:color="auto" w:fill="FFFFFF"/>
              </w:rPr>
              <w:t xml:space="preserve">Death </w:t>
            </w:r>
          </w:p>
        </w:tc>
      </w:tr>
      <w:tr w:rsidR="00414063" w:rsidRPr="00414063" w:rsidTr="00D675B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  <w:lang w:val="vi-VN"/>
              </w:rPr>
            </w:pPr>
            <w:r w:rsidRPr="00414063">
              <w:rPr>
                <w:b w:val="0"/>
                <w:bCs/>
                <w:shd w:val="clear" w:color="auto" w:fill="FFFFFF"/>
                <w:lang w:val="vi-VN"/>
              </w:rPr>
              <w:t>No fracture</w:t>
            </w:r>
          </w:p>
        </w:tc>
        <w:tc>
          <w:tcPr>
            <w:tcW w:w="1576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82.2 / 74.4</w:t>
            </w:r>
          </w:p>
        </w:tc>
        <w:tc>
          <w:tcPr>
            <w:tcW w:w="1577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3.5 / 8.3</w:t>
            </w:r>
          </w:p>
        </w:tc>
        <w:tc>
          <w:tcPr>
            <w:tcW w:w="1577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0.2 / 0.7</w:t>
            </w:r>
          </w:p>
        </w:tc>
        <w:tc>
          <w:tcPr>
            <w:tcW w:w="1771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0.02 / 0.2</w:t>
            </w:r>
          </w:p>
        </w:tc>
        <w:tc>
          <w:tcPr>
            <w:tcW w:w="1701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14.1 / 16.3</w:t>
            </w:r>
          </w:p>
        </w:tc>
      </w:tr>
      <w:tr w:rsidR="00414063" w:rsidRPr="00414063" w:rsidTr="00D6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</w:rPr>
            </w:pPr>
            <w:r w:rsidRPr="00414063">
              <w:rPr>
                <w:b w:val="0"/>
                <w:bCs/>
                <w:shd w:val="clear" w:color="auto" w:fill="FFFFFF"/>
              </w:rPr>
              <w:t>1</w:t>
            </w:r>
            <w:r w:rsidRPr="00414063">
              <w:rPr>
                <w:b w:val="0"/>
                <w:bCs/>
                <w:shd w:val="clear" w:color="auto" w:fill="FFFFFF"/>
                <w:vertAlign w:val="superscript"/>
              </w:rPr>
              <w:t>st</w:t>
            </w:r>
            <w:r w:rsidRPr="00414063">
              <w:rPr>
                <w:b w:val="0"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576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577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72.4 / 56.1</w:t>
            </w:r>
          </w:p>
        </w:tc>
        <w:tc>
          <w:tcPr>
            <w:tcW w:w="1577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6.7 / 8.4</w:t>
            </w:r>
          </w:p>
        </w:tc>
        <w:tc>
          <w:tcPr>
            <w:tcW w:w="1771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0.8 / 3.6</w:t>
            </w:r>
          </w:p>
        </w:tc>
        <w:tc>
          <w:tcPr>
            <w:tcW w:w="1701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063">
              <w:t>20.0 / 31.9</w:t>
            </w:r>
          </w:p>
        </w:tc>
      </w:tr>
      <w:tr w:rsidR="00414063" w:rsidRPr="00414063" w:rsidTr="00D675B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</w:rPr>
            </w:pPr>
            <w:r w:rsidRPr="00414063">
              <w:rPr>
                <w:b w:val="0"/>
                <w:bCs/>
                <w:shd w:val="clear" w:color="auto" w:fill="FFFFFF"/>
              </w:rPr>
              <w:t>2</w:t>
            </w:r>
            <w:r w:rsidRPr="00414063">
              <w:rPr>
                <w:b w:val="0"/>
                <w:bCs/>
                <w:shd w:val="clear" w:color="auto" w:fill="FFFFFF"/>
                <w:vertAlign w:val="superscript"/>
              </w:rPr>
              <w:t>nd</w:t>
            </w:r>
            <w:r w:rsidRPr="00414063">
              <w:rPr>
                <w:b w:val="0"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576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57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577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39.9 / 12.6</w:t>
            </w:r>
          </w:p>
        </w:tc>
        <w:tc>
          <w:tcPr>
            <w:tcW w:w="1771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8.7 / 16.8</w:t>
            </w:r>
          </w:p>
        </w:tc>
        <w:tc>
          <w:tcPr>
            <w:tcW w:w="1701" w:type="dxa"/>
          </w:tcPr>
          <w:p w:rsidR="00B573B4" w:rsidRPr="00414063" w:rsidRDefault="00B573B4" w:rsidP="00D675BE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063">
              <w:t>51.4 / 70.6</w:t>
            </w:r>
          </w:p>
        </w:tc>
      </w:tr>
      <w:tr w:rsidR="00414063" w:rsidRPr="00414063" w:rsidTr="00D67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rPr>
                <w:b w:val="0"/>
                <w:bCs/>
                <w:shd w:val="clear" w:color="auto" w:fill="FFFFFF"/>
              </w:rPr>
            </w:pPr>
            <w:r w:rsidRPr="00414063">
              <w:rPr>
                <w:b w:val="0"/>
                <w:bCs/>
                <w:shd w:val="clear" w:color="auto" w:fill="FFFFFF"/>
              </w:rPr>
              <w:t>3</w:t>
            </w:r>
            <w:r w:rsidRPr="00414063">
              <w:rPr>
                <w:b w:val="0"/>
                <w:bCs/>
                <w:shd w:val="clear" w:color="auto" w:fill="FFFFFF"/>
                <w:vertAlign w:val="superscript"/>
              </w:rPr>
              <w:t>rd</w:t>
            </w:r>
            <w:r w:rsidRPr="00414063">
              <w:rPr>
                <w:b w:val="0"/>
                <w:bCs/>
                <w:shd w:val="clear" w:color="auto" w:fill="FFFFFF"/>
              </w:rPr>
              <w:t xml:space="preserve"> fracture</w:t>
            </w:r>
          </w:p>
        </w:tc>
        <w:tc>
          <w:tcPr>
            <w:tcW w:w="1576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57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577" w:type="dxa"/>
          </w:tcPr>
          <w:p w:rsidR="00B573B4" w:rsidRPr="00414063" w:rsidRDefault="00B573B4" w:rsidP="00D675BE">
            <w:pPr>
              <w:autoSpaceDE w:val="0"/>
              <w:autoSpaceDN w:val="0"/>
              <w:adjustRightInd w:val="0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hd w:val="clear" w:color="auto" w:fill="FFFFFF"/>
                <w:lang w:val="vi-VN"/>
              </w:rPr>
            </w:pPr>
          </w:p>
        </w:tc>
        <w:tc>
          <w:tcPr>
            <w:tcW w:w="1771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4063">
              <w:rPr>
                <w:b/>
              </w:rPr>
              <w:t>8.2 / 27.1</w:t>
            </w:r>
          </w:p>
        </w:tc>
        <w:tc>
          <w:tcPr>
            <w:tcW w:w="1701" w:type="dxa"/>
          </w:tcPr>
          <w:p w:rsidR="00B573B4" w:rsidRPr="00414063" w:rsidRDefault="00B573B4" w:rsidP="00D675BE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14063">
              <w:rPr>
                <w:bCs/>
              </w:rPr>
              <w:t xml:space="preserve">91.8 / 72.9 </w:t>
            </w:r>
          </w:p>
        </w:tc>
      </w:tr>
    </w:tbl>
    <w:p w:rsidR="00B573B4" w:rsidRPr="00414063" w:rsidRDefault="00B573B4" w:rsidP="006F2DBC">
      <w:pPr>
        <w:spacing w:line="288" w:lineRule="auto"/>
      </w:pPr>
      <w:r w:rsidRPr="00414063">
        <w:rPr>
          <w:b/>
          <w:bCs w:val="0"/>
        </w:rPr>
        <w:t>Note</w:t>
      </w:r>
      <w:r w:rsidRPr="00414063">
        <w:t xml:space="preserve">: Risk was estimated for </w:t>
      </w:r>
      <w:r w:rsidRPr="00414063">
        <w:rPr>
          <w:iCs/>
        </w:rPr>
        <w:t>a man or woman characterized as follows: age = 70 years old, BMI = 26.6 kg/m</w:t>
      </w:r>
      <w:r w:rsidRPr="00414063">
        <w:rPr>
          <w:iCs/>
          <w:vertAlign w:val="superscript"/>
        </w:rPr>
        <w:t>2</w:t>
      </w:r>
      <w:r w:rsidRPr="00414063">
        <w:rPr>
          <w:iCs/>
        </w:rPr>
        <w:t xml:space="preserve"> (equal to mean), no history of falls, no prior fracture, no comorbidities. Bold face values indicate transition probability for initial and subsequent fractures significantly different between an individual with BMD T-score of 0 (normal) and BMD T-score of  -2.5 (osteoporosis). In each cell, values are percentages of risks for T-score = 0 and T-score = -2.5</w:t>
      </w:r>
      <w:r w:rsidR="00C8556D" w:rsidRPr="00414063">
        <w:rPr>
          <w:iCs/>
        </w:rPr>
        <w:t>,</w:t>
      </w:r>
      <w:r w:rsidRPr="00414063">
        <w:rPr>
          <w:iCs/>
        </w:rPr>
        <w:t xml:space="preserve"> separated by a slash sign. </w:t>
      </w:r>
    </w:p>
    <w:sectPr w:rsidR="00B573B4" w:rsidRPr="0041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B4"/>
    <w:rsid w:val="00414063"/>
    <w:rsid w:val="006F2DBC"/>
    <w:rsid w:val="00B573B4"/>
    <w:rsid w:val="00C8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1E54"/>
  <w15:chartTrackingRefBased/>
  <w15:docId w15:val="{6F383B14-EA4D-4427-AC8D-0D437B0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3B4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573B4"/>
    <w:pPr>
      <w:spacing w:after="0" w:line="240" w:lineRule="auto"/>
    </w:pPr>
    <w:rPr>
      <w:rFonts w:ascii="Times New Roman" w:hAnsi="Times New Roman" w:cs="Times New Roman"/>
      <w:bCs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>Swinburne University of Techonology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 user</dc:creator>
  <cp:keywords/>
  <dc:description/>
  <cp:lastModifiedBy>MW user</cp:lastModifiedBy>
  <cp:revision>5</cp:revision>
  <dcterms:created xsi:type="dcterms:W3CDTF">2020-12-15T22:16:00Z</dcterms:created>
  <dcterms:modified xsi:type="dcterms:W3CDTF">2020-12-15T22:53:00Z</dcterms:modified>
</cp:coreProperties>
</file>