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55" w:type="dxa"/>
        <w:jc w:val="left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1546"/>
        <w:gridCol w:w="329"/>
        <w:gridCol w:w="1080"/>
        <w:gridCol w:w="960"/>
        <w:gridCol w:w="1020"/>
        <w:gridCol w:w="960"/>
        <w:gridCol w:w="960"/>
        <w:gridCol w:w="1020"/>
        <w:gridCol w:w="975"/>
        <w:gridCol w:w="1004"/>
      </w:tblGrid>
      <w:tr>
        <w:trPr/>
        <w:tc>
          <w:tcPr>
            <w:tcW w:w="985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Supplementary File 1.</w:t>
            </w:r>
            <w:r>
              <w:rPr>
                <w:rFonts w:ascii="Arial" w:hAnsi="Arial"/>
                <w:sz w:val="22"/>
                <w:szCs w:val="22"/>
              </w:rPr>
              <w:t xml:space="preserve"> Cryo-</w:t>
            </w:r>
            <w:r>
              <w:rPr>
                <w:rFonts w:cs="Arial" w:ascii="Arial" w:hAnsi="Arial"/>
                <w:sz w:val="22"/>
                <w:szCs w:val="22"/>
              </w:rPr>
              <w:t xml:space="preserve">EM data collection,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n-US"/>
              </w:rPr>
              <w:t>atomic models refinement and validation statistics.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Microscope model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FEI Titan Krios cryo-transmission electron microscope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Detector model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Gatan K2 summit direct electron detector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Number of datasets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1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Number of micrographs collected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9,494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Pixel size (Å)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1.04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Defocus range (μm)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0.8 – 2.8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Voltage (kV)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</w:t>
            </w:r>
          </w:p>
        </w:tc>
      </w:tr>
      <w:tr>
        <w:trPr/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sz w:val="20"/>
                <w:lang w:val="en-GB"/>
              </w:rPr>
              <w:t>Electron dose (e</w:t>
            </w:r>
            <w:r>
              <w:rPr>
                <w:rFonts w:ascii="Arial" w:hAnsi="Arial"/>
                <w:sz w:val="20"/>
                <w:vertAlign w:val="superscript"/>
                <w:lang w:val="en-GB"/>
              </w:rPr>
              <w:t>-</w:t>
            </w:r>
            <w:r>
              <w:rPr>
                <w:rFonts w:ascii="Arial" w:hAnsi="Arial"/>
                <w:sz w:val="20"/>
                <w:lang w:val="en-GB"/>
              </w:rPr>
              <w:t>Å</w:t>
            </w:r>
            <w:r>
              <w:rPr>
                <w:rFonts w:ascii="Arial" w:hAnsi="Arial"/>
                <w:sz w:val="20"/>
                <w:vertAlign w:val="superscript"/>
                <w:lang w:val="en-GB"/>
              </w:rPr>
              <w:t>-2</w:t>
            </w:r>
            <w:r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8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29.88</w:t>
            </w:r>
          </w:p>
        </w:tc>
      </w:tr>
      <w:tr>
        <w:trPr>
          <w:trHeight w:val="1790" w:hRule="exact"/>
          <w:cantSplit w:val="true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Name of </w:t>
            </w:r>
          </w:p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3D reconstruction/</w:t>
            </w:r>
          </w:p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>model</w:t>
            </w:r>
          </w:p>
        </w:tc>
        <w:tc>
          <w:tcPr>
            <w:tcW w:w="10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  <w:textDirection w:val="btLr"/>
          </w:tcPr>
          <w:p>
            <w:pPr>
              <w:pStyle w:val="SMcaption"/>
              <w:rPr>
                <w:rFonts w:ascii="Arial" w:hAnsi="Arial" w:cs="Arial"/>
                <w:b w:val="false"/>
                <w:b w:val="false"/>
                <w:bCs w:val="false"/>
                <w:color w:val="00000A"/>
                <w:sz w:val="20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color w:val="00000A"/>
                <w:sz w:val="20"/>
                <w:lang w:val="en-US"/>
              </w:rPr>
              <w:t>State A RIO1(kd)-StHA</w:t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  <w:textDirection w:val="btLr"/>
          </w:tcPr>
          <w:p>
            <w:pPr>
              <w:pStyle w:val="SMcaption"/>
              <w:rPr>
                <w:rFonts w:ascii="Arial" w:hAnsi="Arial" w:cs="Arial"/>
                <w:b w:val="false"/>
                <w:b w:val="false"/>
                <w:bCs w:val="false"/>
                <w:color w:val="00000A"/>
                <w:sz w:val="20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color w:val="00000A"/>
                <w:sz w:val="20"/>
                <w:lang w:val="en-US"/>
              </w:rPr>
              <w:t>State B RIO1(kd)-StHA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  <w:textDirection w:val="btLr"/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A head</w:t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  <w:textDirection w:val="btLr"/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A body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extDirection w:val="btLr"/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A platform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extDirection w:val="btLr"/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B head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extDirection w:val="btLr"/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B body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extDirection w:val="btLr"/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B platform</w:t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EMDB entry of map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sz w:val="20"/>
                <w:lang w:val="en-GB"/>
              </w:rPr>
              <w:t>EMD- 11440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EMD-11441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EMD-11446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EMD-11445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sz w:val="20"/>
                <w:lang w:val="en-GB"/>
              </w:rPr>
              <w:t>EMD-</w:t>
            </w:r>
            <w:r>
              <w:rPr>
                <w:rFonts w:ascii="Calibri" w:hAnsi="Calibri"/>
                <w:sz w:val="20"/>
                <w:lang w:val="en-GB"/>
              </w:rPr>
              <w:t>11447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EMD-11443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EMD-11442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sz w:val="20"/>
                <w:lang w:val="en-GB"/>
              </w:rPr>
              <w:t>EMD-</w:t>
            </w:r>
            <w:r>
              <w:rPr>
                <w:rFonts w:ascii="Calibri" w:hAnsi="Calibri"/>
                <w:sz w:val="20"/>
                <w:lang w:val="en-GB"/>
              </w:rPr>
              <w:t>11444</w:t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PDB entry of the full model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6ZU0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6ZV6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Final number of particles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104,844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276,012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104,844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104,844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104,844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276,012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276,012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276,012</w:t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Resolution (Å) (FSC threshold = 0.143)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3.00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3.17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2.96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2.98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2.98</w:t>
            </w:r>
          </w:p>
        </w:tc>
      </w:tr>
      <w:tr>
        <w:trPr>
          <w:trHeight w:val="650" w:hRule="atLeast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sz w:val="20"/>
              </w:rPr>
              <w:t>Map sharpening B-factor (Å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</w:rPr>
              <w:t>)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-89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-88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-68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-71</w:t>
            </w:r>
          </w:p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-81</w:t>
            </w:r>
          </w:p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-84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-80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-77</w:t>
            </w:r>
          </w:p>
        </w:tc>
      </w:tr>
      <w:tr>
        <w:trPr/>
        <w:tc>
          <w:tcPr>
            <w:tcW w:w="985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/>
            </w:pPr>
            <w:r>
              <w:rPr>
                <w:rFonts w:ascii="Arial" w:hAnsi="Arial"/>
                <w:b/>
                <w:sz w:val="20"/>
                <w:lang w:val="en-GB"/>
              </w:rPr>
              <w:t>Refinement and model validation statistics</w:t>
            </w:r>
            <w:r>
              <w:rPr>
                <w:rFonts w:ascii="Arial" w:hAnsi="Arial"/>
                <w:b/>
                <w:sz w:val="20"/>
                <w:vertAlign w:val="superscript"/>
                <w:lang w:val="en-GB"/>
              </w:rPr>
              <w:t>(</w:t>
            </w:r>
            <w:r>
              <w:rPr>
                <w:rFonts w:ascii="Arial" w:hAnsi="Arial"/>
                <w:sz w:val="20"/>
                <w:vertAlign w:val="superscript"/>
                <w:lang w:val="en-GB"/>
              </w:rPr>
              <w:t>a)</w:t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Model refinement resolution range ( Å)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Model resolution (Å) (FSC threshold = 0.5)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Clashscore (all atoms)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40-2.7</w:t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3.61</w:t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7.53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40-2.6</w:t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3.52</w:t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6.72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MolProbity Score</w:t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Protein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1.81</w:t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1.77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   </w:t>
            </w:r>
            <w:r>
              <w:rPr>
                <w:rFonts w:ascii="Arial" w:hAnsi="Arial"/>
                <w:bCs/>
                <w:sz w:val="20"/>
                <w:lang w:val="en-GB"/>
              </w:rPr>
              <w:t xml:space="preserve">Rmsd (bonds lengths, </w:t>
            </w:r>
            <w:r>
              <w:rPr>
                <w:rFonts w:eastAsia="Times New Roman" w:cs="Times New Roman" w:ascii="Arial" w:hAnsi="Arial"/>
                <w:bCs/>
                <w:sz w:val="20"/>
                <w:lang w:val="en-GB"/>
              </w:rPr>
              <w:t>Å</w:t>
            </w:r>
            <w:r>
              <w:rPr>
                <w:rFonts w:ascii="Arial" w:hAnsi="Arial"/>
                <w:bCs/>
                <w:sz w:val="20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0.0084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0.01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   </w:t>
            </w:r>
            <w:r>
              <w:rPr>
                <w:rFonts w:ascii="Arial" w:hAnsi="Arial"/>
                <w:bCs/>
                <w:sz w:val="20"/>
                <w:lang w:val="en-GB"/>
              </w:rPr>
              <w:t>Rmsd (angles, °)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1.20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1.00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/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   </w:t>
            </w:r>
            <w:r>
              <w:rPr>
                <w:rFonts w:ascii="Arial" w:hAnsi="Arial"/>
                <w:bCs/>
                <w:sz w:val="20"/>
                <w:lang w:val="en-GB"/>
              </w:rPr>
              <w:t>Ramachandran plot (%)</w:t>
            </w:r>
          </w:p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       </w:t>
            </w:r>
            <w:r>
              <w:rPr>
                <w:rFonts w:ascii="Arial" w:hAnsi="Arial"/>
                <w:bCs/>
                <w:sz w:val="20"/>
                <w:lang w:val="en-GB"/>
              </w:rPr>
              <w:t>favored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94.19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94.15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       </w:t>
            </w:r>
            <w:r>
              <w:rPr>
                <w:rFonts w:ascii="Arial" w:hAnsi="Arial"/>
                <w:bCs/>
                <w:sz w:val="20"/>
                <w:lang w:val="en-GB"/>
              </w:rPr>
              <w:t>allowed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5.73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5.73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bCs/>
                <w:sz w:val="20"/>
                <w:lang w:val="en-GB"/>
              </w:rPr>
            </w:pPr>
            <w:r>
              <w:rPr>
                <w:rFonts w:ascii="Arial" w:hAnsi="Arial"/>
                <w:bCs/>
                <w:sz w:val="20"/>
                <w:lang w:val="en-GB"/>
              </w:rPr>
              <w:t xml:space="preserve">       </w:t>
            </w:r>
            <w:r>
              <w:rPr>
                <w:rFonts w:ascii="Arial" w:hAnsi="Arial"/>
                <w:bCs/>
                <w:sz w:val="20"/>
                <w:lang w:val="en-GB"/>
              </w:rPr>
              <w:t>outliers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0.08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0.12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RNA</w:t>
            </w:r>
          </w:p>
        </w:tc>
        <w:tc>
          <w:tcPr>
            <w:tcW w:w="7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Correct sugar puckers (%)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97.2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97.8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Good backbone conformation (%)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69.4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SMcaption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73.7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</w:r>
          </w:p>
        </w:tc>
      </w:tr>
      <w:tr>
        <w:trPr/>
        <w:tc>
          <w:tcPr>
            <w:tcW w:w="985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SMcaption"/>
              <w:spacing w:lineRule="auto" w:line="240"/>
              <w:rPr/>
            </w:pPr>
            <w:r>
              <w:rPr>
                <w:rFonts w:ascii="Arial" w:hAnsi="Arial"/>
                <w:sz w:val="20"/>
                <w:vertAlign w:val="superscript"/>
                <w:lang w:val="en-GB"/>
              </w:rPr>
              <w:t>(a)</w:t>
            </w:r>
            <w:r>
              <w:rPr>
                <w:rFonts w:ascii="Arial" w:hAnsi="Arial"/>
                <w:position w:val="0"/>
                <w:sz w:val="20"/>
                <w:sz w:val="20"/>
                <w:vertAlign w:val="baseline"/>
                <w:lang w:val="en-GB"/>
              </w:rPr>
              <w:t>M</w:t>
            </w:r>
            <w:r>
              <w:rPr>
                <w:rFonts w:ascii="Arial" w:hAnsi="Arial"/>
                <w:sz w:val="20"/>
                <w:lang w:val="en-GB"/>
              </w:rPr>
              <w:t>odels were validated using MolProbity implemented in PHENIX.REFINE (</w:t>
            </w:r>
            <w:bookmarkStart w:id="0" w:name="__Fieldmark__1269_420057093"/>
            <w:r>
              <w:rPr>
                <w:rFonts w:ascii="Arial" w:hAnsi="Arial"/>
                <w:sz w:val="20"/>
                <w:lang w:val="en-GB"/>
              </w:rPr>
              <w:t>A</w:t>
            </w:r>
            <w:bookmarkStart w:id="1" w:name="__Fieldmark__132_496412386"/>
            <w:r>
              <w:rPr>
                <w:rFonts w:ascii="Arial" w:hAnsi="Arial"/>
                <w:sz w:val="20"/>
                <w:lang w:val="en-GB"/>
              </w:rPr>
              <w:t>d</w:t>
            </w:r>
            <w:bookmarkStart w:id="2" w:name="__Fieldmark__137_2126524737"/>
            <w:r>
              <w:rPr>
                <w:rFonts w:ascii="Arial" w:hAnsi="Arial"/>
                <w:sz w:val="20"/>
                <w:lang w:val="en-GB"/>
              </w:rPr>
              <w:t>a</w:t>
            </w:r>
            <w:bookmarkStart w:id="3" w:name="__Fieldmark__1364_1585501060"/>
            <w:r>
              <w:rPr>
                <w:rFonts w:ascii="Arial" w:hAnsi="Arial"/>
                <w:sz w:val="20"/>
                <w:lang w:val="en-GB"/>
              </w:rPr>
              <w:t>m</w:t>
            </w:r>
            <w:bookmarkStart w:id="4" w:name="__Fieldmark__122_1038439381"/>
            <w:r>
              <w:rPr>
                <w:rFonts w:ascii="Arial" w:hAnsi="Arial"/>
                <w:sz w:val="20"/>
                <w:lang w:val="en-GB"/>
              </w:rPr>
              <w:t>s</w:t>
            </w:r>
            <w:bookmarkStart w:id="5" w:name="__Fieldmark__5681_1405774248"/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bookmarkStart w:id="6" w:name="__Fieldmark__164_2062047329"/>
            <w:r>
              <w:rPr>
                <w:rFonts w:ascii="Arial" w:hAnsi="Arial"/>
                <w:sz w:val="20"/>
                <w:lang w:val="en-GB"/>
              </w:rPr>
              <w:t>e</w:t>
            </w:r>
            <w:r>
              <w:fldChar w:fldCharType="begin"/>
            </w:r>
            <w:r>
              <w:instrText>ADDIN EN.CITE &lt;EndNote&gt;&lt;Cite&gt;&lt;Author&gt;Adams&lt;/Author&gt;&lt;Year&gt;2010&lt;/Year&gt;&lt;RecNum&gt;35&lt;/RecNum&gt;&lt;DisplayText&gt;(Adams et al., 2010)&lt;/DisplayText&gt;&lt;record&gt;&lt;rec-number&gt;35&lt;/rec-number&gt;&lt;foreign-keys&gt;&lt;key app="EN" db-id="2r5vs0v232f9pre99avpfwswazs9r5ax95f9" timestamp="1508593164"&gt;35&lt;/key&gt;&lt;/foreign-keys&gt;&lt;ref-type name="Journal Article"&gt;17&lt;/ref-type&gt;&lt;contributors&gt;&lt;authors&gt;&lt;author&gt;Adams, P. D.&lt;/author&gt;&lt;author&gt;Afonine, P. V.&lt;/author&gt;&lt;author&gt;Bunkoczi, G.&lt;/author&gt;&lt;author&gt;Chen, V. B.&lt;/author&gt;&lt;author&gt;Davis, I. W.&lt;/author&gt;&lt;author&gt;Echols, N.&lt;/author&gt;&lt;author&gt;Headd, J. J.&lt;/author&gt;&lt;author&gt;Hung, L. W.&lt;/author&gt;&lt;author&gt;Kapral, G. J.&lt;/author&gt;&lt;author&gt;Grosse-Kunstleve, R. W.&lt;/author&gt;&lt;author&gt;McCoy, A. J.&lt;/author&gt;&lt;author&gt;Moriarty, N. W.&lt;/author&gt;&lt;author&gt;Oeffner, R.&lt;/author&gt;&lt;author&gt;Read, R. J.&lt;/author&gt;&lt;author&gt;Richardson, D. C.&lt;/author&gt;&lt;author&gt;Richardson, J. S.&lt;/author&gt;&lt;author&gt;Terwilliger, T. C.&lt;/author&gt;&lt;author&gt;Zwart, P. H.&lt;/author&gt;&lt;/authors&gt;&lt;/contributors&gt;&lt;auth-address&gt;Lawrence Berkeley National Laboratory, Berkeley, CA 94720, USA. pdadams@lbl.gov&lt;/auth-address&gt;&lt;titles&gt;&lt;title&gt;PHENIX: a comprehensive Python-based system for macromolecular structure solution&lt;/title&gt;&lt;secondary-title&gt;Acta Crystallogr D Biol Crystallogr&lt;/secondary-title&gt;&lt;/titles&gt;&lt;periodical&gt;&lt;full-title&gt;Acta Crystallogr D Biol Crystallogr&lt;/full-title&gt;&lt;/periodical&gt;&lt;pages&gt;213-21&lt;/pages&gt;&lt;volume&gt;66&lt;/volume&gt;&lt;number&gt;Pt 2&lt;/number&gt;&lt;keywords&gt;&lt;keyword&gt;Algorithms&lt;/keyword&gt;&lt;keyword&gt;Crystallography, X-Ray/*methods&lt;/keyword&gt;&lt;keyword&gt;Models, Molecular&lt;/keyword&gt;&lt;keyword&gt;*Software Design&lt;/keyword&gt;&lt;/keywords&gt;&lt;dates&gt;&lt;year&gt;2010&lt;/year&gt;&lt;pub-dates&gt;&lt;date&gt;Feb&lt;/date&gt;&lt;/pub-dates&gt;&lt;/dates&gt;&lt;isbn&gt;1399-0047 (Electronic)&amp;#xD;0907-4449 (Linking)&lt;/isbn&gt;&lt;accession-num&gt;20124702&lt;/accession-num&gt;&lt;urls&gt;&lt;related-urls&gt;&lt;url&gt;https://www.ncbi.nlm.nih.gov/pubmed/20124702&lt;/url&gt;&lt;/related-urls&gt;&lt;/urls&gt;&lt;custom2&gt;PMC2815670&lt;/custom2&gt;&lt;electronic-resource-num&gt;10.1107/S0907444909052925&lt;/electronic-resource-num&gt;&lt;/record&gt;&lt;/Cite&gt;&lt;/EndNote&gt;</w:instrText>
            </w:r>
            <w:r>
              <w:fldChar w:fldCharType="separate"/>
            </w:r>
            <w:bookmarkStart w:id="7" w:name="__Fieldmark__142_366462232"/>
            <w:r>
              <w:rPr>
                <w:rFonts w:ascii="Arial" w:hAnsi="Arial"/>
                <w:sz w:val="20"/>
                <w:lang w:val="en-GB"/>
              </w:rPr>
              <w:t>t</w:t>
            </w:r>
            <w:bookmarkStart w:id="8" w:name="__Fieldmark__150_2018226731"/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bookmarkStart w:id="9" w:name="__Fieldmark__3160_417953688"/>
            <w:r>
              <w:rPr>
                <w:rFonts w:ascii="Arial" w:hAnsi="Arial"/>
                <w:sz w:val="20"/>
                <w:lang w:val="en-GB"/>
              </w:rPr>
              <w:t>al., 2010)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Arial" w:hAnsi="Arial"/>
                <w:sz w:val="20"/>
                <w:lang w:val="en-GB"/>
              </w:rPr>
            </w:r>
            <w:r>
              <w:fldChar w:fldCharType="end"/>
            </w:r>
          </w:p>
          <w:p>
            <w:pPr>
              <w:pStyle w:val="SMcaption"/>
              <w:spacing w:lineRule="auto" w:line="240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  <w:lang w:val="en-US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SMcaption">
    <w:name w:val="SM caption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LibreOffice/5.1.6.2$Linux_X86_64 LibreOffice_project/10m0$Build-2</Application>
  <Pages>2</Pages>
  <Words>224</Words>
  <Characters>1224</Characters>
  <CharactersWithSpaces>1378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2020-07-24T17:18:22Z</dcterms:created>
  <dc:creator/>
  <dc:description/>
  <dc:language>en-GB</dc:language>
  <cp:lastModifiedBy/>
  <dcterms:modified xsi:type="dcterms:W3CDTF">2021-04-16T11:38:23Z</dcterms:modified>
  <cp:revision>6</cp:revision>
  <dc:subject/>
  <dc:title/>
</cp:coreProperties>
</file>