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5101D">
        <w:fldChar w:fldCharType="begin"/>
      </w:r>
      <w:r w:rsidR="0005101D">
        <w:instrText xml:space="preserve"> HYPERLINK "https://biosharing.org/" \t "_blank" </w:instrText>
      </w:r>
      <w:r w:rsidR="0005101D">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5101D">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D032CC9" w:rsidR="00877644" w:rsidRPr="00125190" w:rsidRDefault="00CC53F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requirements were estimated based on previous results on application of the same type of short RNA sequencing in mouse </w:t>
      </w:r>
      <w:r w:rsidR="00CF2F45">
        <w:rPr>
          <w:rFonts w:asciiTheme="minorHAnsi" w:hAnsiTheme="minorHAnsi"/>
        </w:rPr>
        <w:t>(</w:t>
      </w:r>
      <w:proofErr w:type="spellStart"/>
      <w:r w:rsidR="00CF2F45">
        <w:rPr>
          <w:rFonts w:asciiTheme="minorHAnsi" w:hAnsiTheme="minorHAnsi"/>
        </w:rPr>
        <w:t>Zovoilis</w:t>
      </w:r>
      <w:proofErr w:type="spellEnd"/>
      <w:r w:rsidR="00CF2F45">
        <w:rPr>
          <w:rFonts w:asciiTheme="minorHAnsi" w:hAnsiTheme="minorHAnsi"/>
        </w:rPr>
        <w:t xml:space="preserve"> et al, Cell 2016). For similar sequencing depth and sequencing mode that study employed two generated datasets per condition, a number that was increased in the current study by one (3 datasets per age</w:t>
      </w:r>
      <w:r w:rsidR="00734150">
        <w:rPr>
          <w:rFonts w:asciiTheme="minorHAnsi" w:hAnsiTheme="minorHAnsi"/>
        </w:rPr>
        <w:t xml:space="preserve"> per condition, </w:t>
      </w:r>
      <w:r w:rsidR="00CF2F45">
        <w:rPr>
          <w:rFonts w:asciiTheme="minorHAnsi" w:hAnsiTheme="minorHAnsi"/>
        </w:rPr>
        <w:t xml:space="preserve">except 3m WT-see below), </w:t>
      </w:r>
      <w:proofErr w:type="gramStart"/>
      <w:r w:rsidR="00734150">
        <w:rPr>
          <w:rFonts w:asciiTheme="minorHAnsi" w:hAnsiTheme="minorHAnsi"/>
        </w:rPr>
        <w:t xml:space="preserve">in </w:t>
      </w:r>
      <w:r w:rsidR="00CF2F45">
        <w:rPr>
          <w:rFonts w:asciiTheme="minorHAnsi" w:hAnsiTheme="minorHAnsi"/>
        </w:rPr>
        <w:t xml:space="preserve"> total</w:t>
      </w:r>
      <w:proofErr w:type="gramEnd"/>
      <w:r w:rsidR="00CF2F45">
        <w:rPr>
          <w:rFonts w:asciiTheme="minorHAnsi" w:hAnsiTheme="minorHAnsi"/>
        </w:rPr>
        <w:t xml:space="preserve"> 17 datasets.  Sample size for the long RNA </w:t>
      </w:r>
      <w:proofErr w:type="spellStart"/>
      <w:r w:rsidR="00CF2F45">
        <w:rPr>
          <w:rFonts w:asciiTheme="minorHAnsi" w:hAnsiTheme="minorHAnsi"/>
        </w:rPr>
        <w:t>seq</w:t>
      </w:r>
      <w:proofErr w:type="spellEnd"/>
      <w:r w:rsidR="00CF2F45">
        <w:rPr>
          <w:rFonts w:asciiTheme="minorHAnsi" w:hAnsiTheme="minorHAnsi"/>
        </w:rPr>
        <w:t xml:space="preserve"> experiments and confirmatory qPCR experiments followed that of short-RNA seq. This information can be found both in methods</w:t>
      </w:r>
      <w:r w:rsidR="00C75013">
        <w:rPr>
          <w:rFonts w:asciiTheme="minorHAnsi" w:hAnsiTheme="minorHAnsi"/>
        </w:rPr>
        <w:t xml:space="preserve"> </w:t>
      </w:r>
      <w:proofErr w:type="gramStart"/>
      <w:r w:rsidR="00C75013">
        <w:rPr>
          <w:rFonts w:asciiTheme="minorHAnsi" w:hAnsiTheme="minorHAnsi"/>
        </w:rPr>
        <w:t xml:space="preserve">section </w:t>
      </w:r>
      <w:r w:rsidR="003329A7">
        <w:rPr>
          <w:rFonts w:asciiTheme="minorHAnsi" w:hAnsiTheme="minorHAnsi"/>
        </w:rPr>
        <w:t xml:space="preserve"> under</w:t>
      </w:r>
      <w:proofErr w:type="gramEnd"/>
      <w:r w:rsidR="003329A7">
        <w:rPr>
          <w:rFonts w:asciiTheme="minorHAnsi" w:hAnsiTheme="minorHAnsi"/>
        </w:rPr>
        <w:t xml:space="preserve"> “</w:t>
      </w:r>
      <w:r w:rsidR="003329A7" w:rsidRPr="003329A7">
        <w:rPr>
          <w:rFonts w:asciiTheme="minorHAnsi" w:hAnsiTheme="minorHAnsi"/>
        </w:rPr>
        <w:t xml:space="preserve">Animals and </w:t>
      </w:r>
      <w:proofErr w:type="spellStart"/>
      <w:r w:rsidR="003329A7" w:rsidRPr="003329A7">
        <w:rPr>
          <w:rFonts w:asciiTheme="minorHAnsi" w:hAnsiTheme="minorHAnsi"/>
        </w:rPr>
        <w:t>behavioural</w:t>
      </w:r>
      <w:proofErr w:type="spellEnd"/>
      <w:r w:rsidR="003329A7" w:rsidRPr="003329A7">
        <w:rPr>
          <w:rFonts w:asciiTheme="minorHAnsi" w:hAnsiTheme="minorHAnsi"/>
        </w:rPr>
        <w:t xml:space="preserve"> </w:t>
      </w:r>
      <w:proofErr w:type="spellStart"/>
      <w:r w:rsidR="003329A7" w:rsidRPr="003329A7">
        <w:rPr>
          <w:rFonts w:asciiTheme="minorHAnsi" w:hAnsiTheme="minorHAnsi"/>
        </w:rPr>
        <w:t>measurement</w:t>
      </w:r>
      <w:r w:rsidR="003329A7">
        <w:rPr>
          <w:rFonts w:asciiTheme="minorHAnsi" w:hAnsiTheme="minorHAnsi"/>
        </w:rPr>
        <w:t>”</w:t>
      </w:r>
      <w:r w:rsidR="00C75013">
        <w:rPr>
          <w:rFonts w:asciiTheme="minorHAnsi" w:hAnsiTheme="minorHAnsi"/>
        </w:rPr>
        <w:t>and</w:t>
      </w:r>
      <w:proofErr w:type="spellEnd"/>
      <w:r w:rsidR="00C75013">
        <w:rPr>
          <w:rFonts w:asciiTheme="minorHAnsi" w:hAnsiTheme="minorHAnsi"/>
        </w:rPr>
        <w:t xml:space="preserve"> the legends of each figure</w:t>
      </w:r>
      <w:r w:rsidR="003329A7">
        <w:rPr>
          <w:rFonts w:asciiTheme="minorHAnsi" w:hAnsiTheme="minorHAnsi"/>
        </w:rPr>
        <w:t xml:space="preserve"> as well as  in the metadata of the </w:t>
      </w:r>
      <w:r w:rsidR="003329A7" w:rsidRPr="003329A7">
        <w:rPr>
          <w:rFonts w:asciiTheme="minorHAnsi" w:hAnsiTheme="minorHAnsi"/>
          <w:sz w:val="22"/>
          <w:szCs w:val="22"/>
        </w:rPr>
        <w:t xml:space="preserve">GEO </w:t>
      </w:r>
      <w:r w:rsidR="003329A7">
        <w:rPr>
          <w:rFonts w:asciiTheme="minorHAnsi" w:hAnsiTheme="minorHAnsi"/>
          <w:sz w:val="22"/>
          <w:szCs w:val="22"/>
        </w:rPr>
        <w:t xml:space="preserve">submitted experiment </w:t>
      </w:r>
      <w:r w:rsidR="003329A7" w:rsidRPr="003329A7">
        <w:rPr>
          <w:rFonts w:asciiTheme="minorHAnsi" w:hAnsiTheme="minorHAnsi"/>
          <w:sz w:val="22"/>
          <w:szCs w:val="22"/>
        </w:rPr>
        <w:t>with access number GSE149243.</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1127889" w:rsidR="00B330BD" w:rsidRPr="00125190" w:rsidRDefault="00D250A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For every age group in each condition we used material from three different mice (biological replicates), with the exception of WT 3m old mice: </w:t>
      </w:r>
      <w:r w:rsidRPr="00D250AA">
        <w:rPr>
          <w:rFonts w:asciiTheme="minorHAnsi" w:hAnsiTheme="minorHAnsi"/>
        </w:rPr>
        <w:t xml:space="preserve">During the hippocampal RNA extractions, the RNA of one of the three 3m old </w:t>
      </w:r>
      <w:r>
        <w:rPr>
          <w:rFonts w:asciiTheme="minorHAnsi" w:hAnsiTheme="minorHAnsi"/>
        </w:rPr>
        <w:t xml:space="preserve">WT </w:t>
      </w:r>
      <w:r w:rsidRPr="00D250AA">
        <w:rPr>
          <w:rFonts w:asciiTheme="minorHAnsi" w:hAnsiTheme="minorHAnsi"/>
        </w:rPr>
        <w:t xml:space="preserve">mice had very low RIN scores, which could be a confounding factor for </w:t>
      </w:r>
      <w:r>
        <w:rPr>
          <w:rFonts w:asciiTheme="minorHAnsi" w:hAnsiTheme="minorHAnsi"/>
        </w:rPr>
        <w:t xml:space="preserve">identification of SINE RNA fragments by </w:t>
      </w:r>
      <w:r w:rsidRPr="00D250AA">
        <w:rPr>
          <w:rFonts w:asciiTheme="minorHAnsi" w:hAnsiTheme="minorHAnsi"/>
        </w:rPr>
        <w:t xml:space="preserve">the short-RNA-seq. As this happened some months after the hippocampal extractions we did not have available other </w:t>
      </w:r>
      <w:proofErr w:type="gramStart"/>
      <w:r w:rsidRPr="00D250AA">
        <w:rPr>
          <w:rFonts w:asciiTheme="minorHAnsi" w:hAnsiTheme="minorHAnsi"/>
        </w:rPr>
        <w:t>3 month</w:t>
      </w:r>
      <w:proofErr w:type="gramEnd"/>
      <w:r w:rsidRPr="00D250AA">
        <w:rPr>
          <w:rFonts w:asciiTheme="minorHAnsi" w:hAnsiTheme="minorHAnsi"/>
        </w:rPr>
        <w:t xml:space="preserve"> mice of the same cohort used in our previous study of these mice for the behavioral and IHC studies. Thus, </w:t>
      </w:r>
      <w:r>
        <w:rPr>
          <w:rFonts w:asciiTheme="minorHAnsi" w:hAnsiTheme="minorHAnsi"/>
        </w:rPr>
        <w:t xml:space="preserve">in order to allow comparisons with the IHC and behavioral data </w:t>
      </w:r>
      <w:r w:rsidRPr="00D250AA">
        <w:rPr>
          <w:rFonts w:asciiTheme="minorHAnsi" w:hAnsiTheme="minorHAnsi"/>
        </w:rPr>
        <w:t>we include</w:t>
      </w:r>
      <w:r>
        <w:rPr>
          <w:rFonts w:asciiTheme="minorHAnsi" w:hAnsiTheme="minorHAnsi"/>
        </w:rPr>
        <w:t>d</w:t>
      </w:r>
      <w:r w:rsidRPr="00D250AA">
        <w:rPr>
          <w:rFonts w:asciiTheme="minorHAnsi" w:hAnsiTheme="minorHAnsi"/>
        </w:rPr>
        <w:t xml:space="preserve"> only two replicates in this condition</w:t>
      </w:r>
      <w:r>
        <w:rPr>
          <w:rFonts w:asciiTheme="minorHAnsi" w:hAnsiTheme="minorHAnsi"/>
        </w:rPr>
        <w:t xml:space="preserve"> and did not sequence another WT 3m old mouse</w:t>
      </w:r>
      <w:r w:rsidRPr="00D250AA">
        <w:rPr>
          <w:rFonts w:asciiTheme="minorHAnsi" w:hAnsiTheme="minorHAnsi"/>
        </w:rPr>
        <w:t xml:space="preserve">. </w:t>
      </w:r>
      <w:r>
        <w:rPr>
          <w:rFonts w:asciiTheme="minorHAnsi" w:hAnsiTheme="minorHAnsi"/>
        </w:rPr>
        <w:t>This is mentioned in methods under section “</w:t>
      </w:r>
      <w:r w:rsidRPr="00D250AA">
        <w:rPr>
          <w:rFonts w:asciiTheme="minorHAnsi" w:hAnsiTheme="minorHAnsi"/>
        </w:rPr>
        <w:t xml:space="preserve">Animals and </w:t>
      </w:r>
      <w:proofErr w:type="spellStart"/>
      <w:r w:rsidRPr="00D250AA">
        <w:rPr>
          <w:rFonts w:asciiTheme="minorHAnsi" w:hAnsiTheme="minorHAnsi"/>
        </w:rPr>
        <w:t>behavioural</w:t>
      </w:r>
      <w:proofErr w:type="spellEnd"/>
      <w:r w:rsidRPr="00D250AA">
        <w:rPr>
          <w:rFonts w:asciiTheme="minorHAnsi" w:hAnsiTheme="minorHAnsi"/>
        </w:rPr>
        <w:t xml:space="preserve"> measurement</w:t>
      </w:r>
      <w:r>
        <w:rPr>
          <w:rFonts w:asciiTheme="minorHAnsi" w:hAnsiTheme="minorHAnsi"/>
        </w:rPr>
        <w:t xml:space="preserve">”. Number of mice in each group is mentioned in the legend of the respective figures. For cell culture experiments we used 4 biological replicates for the control peptide vs amyloid beta peptide (42) and 3 biological replicates </w:t>
      </w:r>
      <w:r w:rsidR="00CF123B">
        <w:rPr>
          <w:rFonts w:asciiTheme="minorHAnsi" w:hAnsiTheme="minorHAnsi"/>
        </w:rPr>
        <w:t>for the treatment with anti-Hsf1. These numbers are mentioned in the figure legends.  For confirmatory qPCR experiments we used three technical replicates for each biological replicate, and the same number of biological replicates corresponding to mice and cell culture experiments mentioned above.</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4774EB1" w:rsidR="0015519A" w:rsidRPr="00505C51" w:rsidRDefault="00CF123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w:t>
      </w:r>
      <w:r w:rsidR="00B82342">
        <w:rPr>
          <w:rFonts w:asciiTheme="minorHAnsi" w:hAnsiTheme="minorHAnsi"/>
          <w:sz w:val="22"/>
          <w:szCs w:val="22"/>
        </w:rPr>
        <w:t xml:space="preserve">long </w:t>
      </w:r>
      <w:r>
        <w:rPr>
          <w:rFonts w:asciiTheme="minorHAnsi" w:hAnsiTheme="minorHAnsi"/>
          <w:sz w:val="22"/>
          <w:szCs w:val="22"/>
        </w:rPr>
        <w:t xml:space="preserve">RNA </w:t>
      </w:r>
      <w:proofErr w:type="spellStart"/>
      <w:r>
        <w:rPr>
          <w:rFonts w:asciiTheme="minorHAnsi" w:hAnsiTheme="minorHAnsi"/>
          <w:sz w:val="22"/>
          <w:szCs w:val="22"/>
        </w:rPr>
        <w:t>seq</w:t>
      </w:r>
      <w:proofErr w:type="spellEnd"/>
      <w:r>
        <w:rPr>
          <w:rFonts w:asciiTheme="minorHAnsi" w:hAnsiTheme="minorHAnsi"/>
          <w:sz w:val="22"/>
          <w:szCs w:val="22"/>
        </w:rPr>
        <w:t xml:space="preserve">, statistical analysis was performed based on the p-values calculated for each gene by DESeq2 (using p </w:t>
      </w:r>
      <w:proofErr w:type="spellStart"/>
      <w:r>
        <w:rPr>
          <w:rFonts w:asciiTheme="minorHAnsi" w:hAnsiTheme="minorHAnsi"/>
          <w:sz w:val="22"/>
          <w:szCs w:val="22"/>
        </w:rPr>
        <w:t>val</w:t>
      </w:r>
      <w:proofErr w:type="spellEnd"/>
      <w:r>
        <w:rPr>
          <w:rFonts w:asciiTheme="minorHAnsi" w:hAnsiTheme="minorHAnsi"/>
          <w:sz w:val="22"/>
          <w:szCs w:val="22"/>
        </w:rPr>
        <w:t xml:space="preserve"> &lt; 0.05 as threshold) followed by correction for double testing </w:t>
      </w:r>
      <w:r w:rsidR="00FB536A">
        <w:rPr>
          <w:rFonts w:asciiTheme="minorHAnsi" w:hAnsiTheme="minorHAnsi"/>
          <w:sz w:val="22"/>
          <w:szCs w:val="22"/>
        </w:rPr>
        <w:t>and FDR calculation again by DESEq2</w:t>
      </w:r>
      <w:r>
        <w:rPr>
          <w:rFonts w:asciiTheme="minorHAnsi" w:hAnsiTheme="minorHAnsi"/>
          <w:sz w:val="22"/>
          <w:szCs w:val="22"/>
        </w:rPr>
        <w:t>.</w:t>
      </w:r>
      <w:r w:rsidR="00C75013">
        <w:rPr>
          <w:rFonts w:asciiTheme="minorHAnsi" w:hAnsiTheme="minorHAnsi"/>
          <w:sz w:val="22"/>
          <w:szCs w:val="22"/>
        </w:rPr>
        <w:t xml:space="preserve"> </w:t>
      </w:r>
      <w:r w:rsidR="00B82342">
        <w:rPr>
          <w:rFonts w:asciiTheme="minorHAnsi" w:hAnsiTheme="minorHAnsi"/>
          <w:sz w:val="22"/>
          <w:szCs w:val="22"/>
        </w:rPr>
        <w:t xml:space="preserve">This </w:t>
      </w:r>
      <w:r w:rsidR="00D31B69">
        <w:rPr>
          <w:rFonts w:asciiTheme="minorHAnsi" w:hAnsiTheme="minorHAnsi"/>
          <w:sz w:val="22"/>
          <w:szCs w:val="22"/>
        </w:rPr>
        <w:t xml:space="preserve">is </w:t>
      </w:r>
      <w:r w:rsidR="00B82342">
        <w:rPr>
          <w:rFonts w:asciiTheme="minorHAnsi" w:hAnsiTheme="minorHAnsi"/>
          <w:sz w:val="22"/>
          <w:szCs w:val="22"/>
        </w:rPr>
        <w:t>mentioned in methods section under “</w:t>
      </w:r>
      <w:r w:rsidR="00B82342" w:rsidRPr="00B82342">
        <w:rPr>
          <w:rFonts w:asciiTheme="minorHAnsi" w:hAnsiTheme="minorHAnsi"/>
          <w:sz w:val="22"/>
          <w:szCs w:val="22"/>
        </w:rPr>
        <w:t>Bioinformatics analysis</w:t>
      </w:r>
      <w:r w:rsidR="00B82342">
        <w:rPr>
          <w:rFonts w:asciiTheme="minorHAnsi" w:hAnsiTheme="minorHAnsi"/>
          <w:sz w:val="22"/>
          <w:szCs w:val="22"/>
        </w:rPr>
        <w:t xml:space="preserve">”. </w:t>
      </w:r>
      <w:r w:rsidR="00042B06">
        <w:rPr>
          <w:rFonts w:asciiTheme="minorHAnsi" w:hAnsiTheme="minorHAnsi"/>
          <w:sz w:val="22"/>
          <w:szCs w:val="22"/>
        </w:rPr>
        <w:t xml:space="preserve"> </w:t>
      </w:r>
      <w:r w:rsidR="00B82342">
        <w:rPr>
          <w:rFonts w:asciiTheme="minorHAnsi" w:hAnsiTheme="minorHAnsi"/>
          <w:sz w:val="22"/>
          <w:szCs w:val="22"/>
        </w:rPr>
        <w:t xml:space="preserve">For </w:t>
      </w:r>
      <w:r w:rsidR="00D31B69">
        <w:rPr>
          <w:rFonts w:asciiTheme="minorHAnsi" w:hAnsiTheme="minorHAnsi"/>
          <w:sz w:val="22"/>
          <w:szCs w:val="22"/>
        </w:rPr>
        <w:t>functional</w:t>
      </w:r>
      <w:r w:rsidR="00B82342">
        <w:rPr>
          <w:rFonts w:asciiTheme="minorHAnsi" w:hAnsiTheme="minorHAnsi"/>
          <w:sz w:val="22"/>
          <w:szCs w:val="22"/>
        </w:rPr>
        <w:t xml:space="preserve"> </w:t>
      </w:r>
      <w:r w:rsidR="00D31B69">
        <w:rPr>
          <w:rFonts w:asciiTheme="minorHAnsi" w:hAnsiTheme="minorHAnsi"/>
          <w:sz w:val="22"/>
          <w:szCs w:val="22"/>
        </w:rPr>
        <w:t xml:space="preserve">annotation term </w:t>
      </w:r>
      <w:r w:rsidR="00B82342">
        <w:rPr>
          <w:rFonts w:asciiTheme="minorHAnsi" w:hAnsiTheme="minorHAnsi"/>
          <w:sz w:val="22"/>
          <w:szCs w:val="22"/>
        </w:rPr>
        <w:t>enrichment analysis</w:t>
      </w:r>
      <w:r w:rsidR="006C67CE">
        <w:rPr>
          <w:rFonts w:asciiTheme="minorHAnsi" w:hAnsiTheme="minorHAnsi"/>
          <w:sz w:val="22"/>
          <w:szCs w:val="22"/>
        </w:rPr>
        <w:t xml:space="preserve">, </w:t>
      </w:r>
      <w:r w:rsidR="006C67CE" w:rsidRPr="006C67CE">
        <w:rPr>
          <w:rFonts w:asciiTheme="minorHAnsi" w:hAnsiTheme="minorHAnsi"/>
          <w:sz w:val="22"/>
          <w:szCs w:val="22"/>
        </w:rPr>
        <w:t xml:space="preserve">EASE </w:t>
      </w:r>
      <w:r w:rsidR="00C603DE">
        <w:rPr>
          <w:rFonts w:asciiTheme="minorHAnsi" w:hAnsiTheme="minorHAnsi"/>
          <w:sz w:val="22"/>
          <w:szCs w:val="22"/>
        </w:rPr>
        <w:t>Score, a modified Fisher Exact p-v</w:t>
      </w:r>
      <w:r w:rsidR="006C67CE" w:rsidRPr="006C67CE">
        <w:rPr>
          <w:rFonts w:asciiTheme="minorHAnsi" w:hAnsiTheme="minorHAnsi"/>
          <w:sz w:val="22"/>
          <w:szCs w:val="22"/>
        </w:rPr>
        <w:t>alue</w:t>
      </w:r>
      <w:r w:rsidR="006C67CE">
        <w:rPr>
          <w:rFonts w:asciiTheme="minorHAnsi" w:hAnsiTheme="minorHAnsi"/>
          <w:sz w:val="22"/>
          <w:szCs w:val="22"/>
        </w:rPr>
        <w:t xml:space="preserve"> applied by the DAVID annotation platform was used (see methods) with an EASE score reporting threshold of 0.05.</w:t>
      </w:r>
      <w:r w:rsidR="00D31B69">
        <w:rPr>
          <w:rFonts w:asciiTheme="minorHAnsi" w:hAnsiTheme="minorHAnsi"/>
          <w:sz w:val="22"/>
          <w:szCs w:val="22"/>
        </w:rPr>
        <w:t xml:space="preserve"> This is mentioned in methods section under “</w:t>
      </w:r>
      <w:r w:rsidR="00D31B69" w:rsidRPr="00B82342">
        <w:rPr>
          <w:rFonts w:asciiTheme="minorHAnsi" w:hAnsiTheme="minorHAnsi"/>
          <w:sz w:val="22"/>
          <w:szCs w:val="22"/>
        </w:rPr>
        <w:t>Bioinformatics analysis</w:t>
      </w:r>
      <w:r w:rsidR="00D31B69">
        <w:rPr>
          <w:rFonts w:asciiTheme="minorHAnsi" w:hAnsiTheme="minorHAnsi"/>
          <w:sz w:val="22"/>
          <w:szCs w:val="22"/>
        </w:rPr>
        <w:t xml:space="preserve">”. </w:t>
      </w:r>
      <w:r w:rsidR="00D31B69" w:rsidRPr="00042B06">
        <w:rPr>
          <w:rFonts w:asciiTheme="minorHAnsi" w:hAnsiTheme="minorHAnsi"/>
          <w:sz w:val="22"/>
          <w:szCs w:val="22"/>
        </w:rPr>
        <w:t xml:space="preserve">Black line </w:t>
      </w:r>
      <w:r w:rsidR="00D31B69">
        <w:rPr>
          <w:rFonts w:asciiTheme="minorHAnsi" w:hAnsiTheme="minorHAnsi"/>
          <w:sz w:val="22"/>
          <w:szCs w:val="22"/>
        </w:rPr>
        <w:t>in boxplots throughout the manuscript denote the</w:t>
      </w:r>
      <w:r w:rsidR="00D31B69" w:rsidRPr="00042B06">
        <w:rPr>
          <w:rFonts w:asciiTheme="minorHAnsi" w:hAnsiTheme="minorHAnsi"/>
          <w:sz w:val="22"/>
          <w:szCs w:val="22"/>
        </w:rPr>
        <w:t xml:space="preserve"> median. </w:t>
      </w:r>
      <w:r w:rsidR="00D31B69">
        <w:rPr>
          <w:rFonts w:asciiTheme="minorHAnsi" w:hAnsiTheme="minorHAnsi"/>
          <w:sz w:val="22"/>
          <w:szCs w:val="22"/>
        </w:rPr>
        <w:t xml:space="preserve">Error bars in bar graphs represent standard deviation from the mean. P values for statistical significance in comparisons </w:t>
      </w:r>
      <w:r w:rsidR="002A2C56">
        <w:rPr>
          <w:rFonts w:asciiTheme="minorHAnsi" w:hAnsiTheme="minorHAnsi"/>
          <w:sz w:val="22"/>
          <w:szCs w:val="22"/>
        </w:rPr>
        <w:t>of</w:t>
      </w:r>
      <w:r w:rsidR="00D31B69">
        <w:rPr>
          <w:rFonts w:asciiTheme="minorHAnsi" w:hAnsiTheme="minorHAnsi"/>
          <w:sz w:val="22"/>
          <w:szCs w:val="22"/>
        </w:rPr>
        <w:t xml:space="preserve"> gene expression levels or B2 RNA levels</w:t>
      </w:r>
      <w:r w:rsidR="002A2C56">
        <w:rPr>
          <w:rFonts w:asciiTheme="minorHAnsi" w:hAnsiTheme="minorHAnsi"/>
          <w:sz w:val="22"/>
          <w:szCs w:val="22"/>
        </w:rPr>
        <w:t xml:space="preserve"> and processing</w:t>
      </w:r>
      <w:r w:rsidR="00D31B69">
        <w:rPr>
          <w:rFonts w:asciiTheme="minorHAnsi" w:hAnsiTheme="minorHAnsi"/>
          <w:sz w:val="22"/>
          <w:szCs w:val="22"/>
        </w:rPr>
        <w:t xml:space="preserve"> </w:t>
      </w:r>
      <w:r w:rsidR="00680D75">
        <w:rPr>
          <w:rFonts w:asciiTheme="minorHAnsi" w:hAnsiTheme="minorHAnsi"/>
          <w:sz w:val="22"/>
          <w:szCs w:val="22"/>
        </w:rPr>
        <w:t>based on</w:t>
      </w:r>
      <w:r w:rsidR="00D31B69">
        <w:rPr>
          <w:rFonts w:asciiTheme="minorHAnsi" w:hAnsiTheme="minorHAnsi"/>
          <w:sz w:val="22"/>
          <w:szCs w:val="22"/>
        </w:rPr>
        <w:t xml:space="preserve"> RNA-</w:t>
      </w:r>
      <w:proofErr w:type="spellStart"/>
      <w:r w:rsidR="00D31B69">
        <w:rPr>
          <w:rFonts w:asciiTheme="minorHAnsi" w:hAnsiTheme="minorHAnsi"/>
          <w:sz w:val="22"/>
          <w:szCs w:val="22"/>
        </w:rPr>
        <w:t>seq</w:t>
      </w:r>
      <w:proofErr w:type="spellEnd"/>
      <w:r w:rsidR="00D31B69">
        <w:rPr>
          <w:rFonts w:asciiTheme="minorHAnsi" w:hAnsiTheme="minorHAnsi"/>
          <w:sz w:val="22"/>
          <w:szCs w:val="22"/>
        </w:rPr>
        <w:t xml:space="preserve"> or short-RNA-</w:t>
      </w:r>
      <w:proofErr w:type="spellStart"/>
      <w:r w:rsidR="00D31B69">
        <w:rPr>
          <w:rFonts w:asciiTheme="minorHAnsi" w:hAnsiTheme="minorHAnsi"/>
          <w:sz w:val="22"/>
          <w:szCs w:val="22"/>
        </w:rPr>
        <w:t>seq</w:t>
      </w:r>
      <w:proofErr w:type="spellEnd"/>
      <w:r w:rsidR="00D31B69">
        <w:rPr>
          <w:rFonts w:asciiTheme="minorHAnsi" w:hAnsiTheme="minorHAnsi"/>
          <w:sz w:val="22"/>
          <w:szCs w:val="22"/>
        </w:rPr>
        <w:t xml:space="preserve"> data</w:t>
      </w:r>
      <w:r w:rsidR="00680D75">
        <w:rPr>
          <w:rFonts w:asciiTheme="minorHAnsi" w:hAnsiTheme="minorHAnsi"/>
          <w:sz w:val="22"/>
          <w:szCs w:val="22"/>
        </w:rPr>
        <w:t xml:space="preserve"> </w:t>
      </w:r>
      <w:r w:rsidR="00D31B69">
        <w:rPr>
          <w:rFonts w:asciiTheme="minorHAnsi" w:hAnsiTheme="minorHAnsi"/>
          <w:sz w:val="22"/>
          <w:szCs w:val="22"/>
        </w:rPr>
        <w:t xml:space="preserve">were calculated using </w:t>
      </w:r>
      <w:r w:rsidR="00680D75">
        <w:rPr>
          <w:rFonts w:asciiTheme="minorHAnsi" w:hAnsiTheme="minorHAnsi"/>
          <w:sz w:val="22"/>
          <w:szCs w:val="22"/>
        </w:rPr>
        <w:t>unpaired non-directional t-test, with p=0.05 as the threshold for statistical significance. When applicable</w:t>
      </w:r>
      <w:r w:rsidR="00FB536A">
        <w:rPr>
          <w:rFonts w:asciiTheme="minorHAnsi" w:hAnsiTheme="minorHAnsi"/>
          <w:sz w:val="22"/>
          <w:szCs w:val="22"/>
        </w:rPr>
        <w:t>,</w:t>
      </w:r>
      <w:r w:rsidR="00680D75">
        <w:rPr>
          <w:rFonts w:asciiTheme="minorHAnsi" w:hAnsiTheme="minorHAnsi"/>
          <w:sz w:val="22"/>
          <w:szCs w:val="22"/>
        </w:rPr>
        <w:t xml:space="preserve"> p-values of</w:t>
      </w:r>
      <w:r w:rsidR="00680D75" w:rsidRPr="00D31B69">
        <w:rPr>
          <w:rFonts w:asciiTheme="minorHAnsi" w:hAnsiTheme="minorHAnsi"/>
          <w:sz w:val="22"/>
          <w:szCs w:val="22"/>
        </w:rPr>
        <w:t xml:space="preserve"> key questions</w:t>
      </w:r>
      <w:r w:rsidR="00680D75">
        <w:rPr>
          <w:rFonts w:asciiTheme="minorHAnsi" w:hAnsiTheme="minorHAnsi"/>
          <w:sz w:val="22"/>
          <w:szCs w:val="22"/>
        </w:rPr>
        <w:t xml:space="preserve"> above this threshold are also</w:t>
      </w:r>
      <w:r w:rsidR="003329A7">
        <w:rPr>
          <w:rFonts w:asciiTheme="minorHAnsi" w:hAnsiTheme="minorHAnsi"/>
          <w:sz w:val="22"/>
          <w:szCs w:val="22"/>
        </w:rPr>
        <w:t xml:space="preserve"> reported. </w:t>
      </w:r>
      <w:r w:rsidR="00680D75">
        <w:rPr>
          <w:rFonts w:asciiTheme="minorHAnsi" w:hAnsiTheme="minorHAnsi"/>
          <w:sz w:val="22"/>
          <w:szCs w:val="22"/>
        </w:rPr>
        <w:t xml:space="preserve">P values for statistical significance in comparisons of qPCR data </w:t>
      </w:r>
      <w:r w:rsidR="003329A7">
        <w:rPr>
          <w:rFonts w:asciiTheme="minorHAnsi" w:hAnsiTheme="minorHAnsi"/>
          <w:sz w:val="22"/>
          <w:szCs w:val="22"/>
        </w:rPr>
        <w:t xml:space="preserve">that are </w:t>
      </w:r>
      <w:r w:rsidR="00680D75">
        <w:rPr>
          <w:rFonts w:asciiTheme="minorHAnsi" w:hAnsiTheme="minorHAnsi"/>
          <w:sz w:val="22"/>
          <w:szCs w:val="22"/>
        </w:rPr>
        <w:t xml:space="preserve">confirmatory to </w:t>
      </w:r>
      <w:r w:rsidR="003329A7">
        <w:rPr>
          <w:rFonts w:asciiTheme="minorHAnsi" w:hAnsiTheme="minorHAnsi"/>
          <w:sz w:val="22"/>
          <w:szCs w:val="22"/>
        </w:rPr>
        <w:t xml:space="preserve">a specific difference observed in </w:t>
      </w:r>
      <w:r w:rsidR="00680D75">
        <w:rPr>
          <w:rFonts w:asciiTheme="minorHAnsi" w:hAnsiTheme="minorHAnsi"/>
          <w:sz w:val="22"/>
          <w:szCs w:val="22"/>
        </w:rPr>
        <w:t>the RNA-</w:t>
      </w:r>
      <w:proofErr w:type="spellStart"/>
      <w:r w:rsidR="00680D75">
        <w:rPr>
          <w:rFonts w:asciiTheme="minorHAnsi" w:hAnsiTheme="minorHAnsi"/>
          <w:sz w:val="22"/>
          <w:szCs w:val="22"/>
        </w:rPr>
        <w:t>seq</w:t>
      </w:r>
      <w:proofErr w:type="spellEnd"/>
      <w:r w:rsidR="00680D75">
        <w:rPr>
          <w:rFonts w:asciiTheme="minorHAnsi" w:hAnsiTheme="minorHAnsi"/>
          <w:sz w:val="22"/>
          <w:szCs w:val="22"/>
        </w:rPr>
        <w:t xml:space="preserve"> data, were calculated using unpaired directional t-test, with p=0.05 as the threshold for statistical significance. </w:t>
      </w:r>
      <w:r w:rsidR="003329A7">
        <w:rPr>
          <w:rFonts w:asciiTheme="minorHAnsi" w:hAnsiTheme="minorHAnsi"/>
          <w:sz w:val="22"/>
          <w:szCs w:val="22"/>
        </w:rPr>
        <w:t>N numbers, methods, statistical test used and significance thresholds are reported in the respective legend of each figure.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012D072" w:rsidR="00BC3CCE" w:rsidRPr="00505C51" w:rsidRDefault="003329A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done based on the genotype and age of each mouse. This is described in methods and in the experimental design of Fig</w:t>
      </w:r>
      <w:r w:rsidR="00FB536A">
        <w:rPr>
          <w:rFonts w:asciiTheme="minorHAnsi" w:hAnsiTheme="minorHAnsi"/>
          <w:sz w:val="22"/>
          <w:szCs w:val="22"/>
        </w:rPr>
        <w:t>.</w:t>
      </w:r>
      <w:r>
        <w:rPr>
          <w:rFonts w:asciiTheme="minorHAnsi" w:hAnsiTheme="minorHAnsi"/>
          <w:sz w:val="22"/>
          <w:szCs w:val="22"/>
        </w:rPr>
        <w:t>2.</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lastRenderedPageBreak/>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41D8211" w:rsidR="00BC3CCE" w:rsidRPr="00505C51" w:rsidRDefault="003329A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sequence source data are available through </w:t>
      </w:r>
      <w:r w:rsidRPr="003329A7">
        <w:rPr>
          <w:rFonts w:asciiTheme="minorHAnsi" w:hAnsiTheme="minorHAnsi"/>
          <w:sz w:val="22"/>
          <w:szCs w:val="22"/>
        </w:rPr>
        <w:t>GEO with access number GSE149243.</w:t>
      </w:r>
      <w:r>
        <w:rPr>
          <w:rFonts w:asciiTheme="minorHAnsi" w:hAnsiTheme="minorHAnsi"/>
          <w:sz w:val="22"/>
          <w:szCs w:val="22"/>
        </w:rPr>
        <w:t xml:space="preserve"> </w:t>
      </w:r>
      <w:r w:rsidR="00FB536A">
        <w:rPr>
          <w:rFonts w:asciiTheme="minorHAnsi" w:hAnsiTheme="minorHAnsi"/>
          <w:sz w:val="22"/>
          <w:szCs w:val="22"/>
        </w:rPr>
        <w:t>Source</w:t>
      </w:r>
      <w:r>
        <w:rPr>
          <w:rFonts w:asciiTheme="minorHAnsi" w:hAnsiTheme="minorHAnsi"/>
          <w:sz w:val="22"/>
          <w:szCs w:val="22"/>
        </w:rPr>
        <w:t xml:space="preserve"> data for gene expression FPKM or B2 RNA fragments </w:t>
      </w:r>
      <w:r w:rsidR="00FB536A">
        <w:rPr>
          <w:rFonts w:asciiTheme="minorHAnsi" w:hAnsiTheme="minorHAnsi"/>
          <w:sz w:val="22"/>
          <w:szCs w:val="22"/>
        </w:rPr>
        <w:t xml:space="preserve">counts </w:t>
      </w:r>
      <w:r>
        <w:rPr>
          <w:rFonts w:asciiTheme="minorHAnsi" w:hAnsiTheme="minorHAnsi"/>
          <w:sz w:val="22"/>
          <w:szCs w:val="22"/>
        </w:rPr>
        <w:t xml:space="preserve">are available through GEO under files entitled “processed”. PAGE gels for the incubations have been uploaded as </w:t>
      </w:r>
      <w:r w:rsidR="00FB536A">
        <w:rPr>
          <w:rFonts w:asciiTheme="minorHAnsi" w:hAnsiTheme="minorHAnsi"/>
          <w:sz w:val="22"/>
          <w:szCs w:val="22"/>
        </w:rPr>
        <w:t xml:space="preserve">two </w:t>
      </w:r>
      <w:r>
        <w:rPr>
          <w:rFonts w:asciiTheme="minorHAnsi" w:hAnsiTheme="minorHAnsi"/>
          <w:sz w:val="22"/>
          <w:szCs w:val="22"/>
        </w:rPr>
        <w:t xml:space="preserve">source </w:t>
      </w:r>
      <w:r w:rsidR="00FB536A">
        <w:rPr>
          <w:rFonts w:asciiTheme="minorHAnsi" w:hAnsiTheme="minorHAnsi"/>
          <w:sz w:val="22"/>
          <w:szCs w:val="22"/>
        </w:rPr>
        <w:t>files for Fig.5</w:t>
      </w:r>
      <w:r>
        <w:rPr>
          <w:rFonts w:asciiTheme="minorHAnsi" w:hAnsiTheme="minorHAnsi"/>
          <w:sz w:val="22"/>
          <w:szCs w:val="22"/>
        </w:rPr>
        <w:t xml:space="preserve">. </w:t>
      </w:r>
      <w:r w:rsidR="00FB536A">
        <w:rPr>
          <w:rFonts w:asciiTheme="minorHAnsi" w:hAnsiTheme="minorHAnsi"/>
          <w:sz w:val="22"/>
          <w:szCs w:val="22"/>
        </w:rPr>
        <w:t xml:space="preserve">Source information for </w:t>
      </w:r>
      <w:r>
        <w:rPr>
          <w:rFonts w:asciiTheme="minorHAnsi" w:hAnsiTheme="minorHAnsi"/>
          <w:sz w:val="22"/>
          <w:szCs w:val="22"/>
        </w:rPr>
        <w:t xml:space="preserve">DEseq2 </w:t>
      </w:r>
      <w:r w:rsidR="00FB536A">
        <w:rPr>
          <w:rFonts w:asciiTheme="minorHAnsi" w:hAnsiTheme="minorHAnsi"/>
          <w:sz w:val="22"/>
          <w:szCs w:val="22"/>
        </w:rPr>
        <w:t>output for</w:t>
      </w:r>
      <w:r w:rsidR="00672452">
        <w:rPr>
          <w:rFonts w:asciiTheme="minorHAnsi" w:hAnsiTheme="minorHAnsi"/>
          <w:sz w:val="22"/>
          <w:szCs w:val="22"/>
        </w:rPr>
        <w:t xml:space="preserve"> differential </w:t>
      </w:r>
      <w:proofErr w:type="gramStart"/>
      <w:r w:rsidR="00672452">
        <w:rPr>
          <w:rFonts w:asciiTheme="minorHAnsi" w:hAnsiTheme="minorHAnsi"/>
          <w:sz w:val="22"/>
          <w:szCs w:val="22"/>
        </w:rPr>
        <w:t>expression(</w:t>
      </w:r>
      <w:proofErr w:type="gramEnd"/>
      <w:r w:rsidR="00672452">
        <w:rPr>
          <w:rFonts w:asciiTheme="minorHAnsi" w:hAnsiTheme="minorHAnsi"/>
          <w:sz w:val="22"/>
          <w:szCs w:val="22"/>
        </w:rPr>
        <w:t>including statistics and log fold change differences) is provided as suppl. tables. Full lists of all reported gene ontology terms are provided as supplementary tables</w:t>
      </w:r>
      <w:r w:rsidR="00FB536A">
        <w:rPr>
          <w:rFonts w:asciiTheme="minorHAnsi" w:hAnsiTheme="minorHAnsi"/>
          <w:sz w:val="22"/>
          <w:szCs w:val="22"/>
        </w:rPr>
        <w:t xml:space="preserve"> 4 and 8</w:t>
      </w:r>
      <w:r w:rsidR="00672452">
        <w:rPr>
          <w:rFonts w:asciiTheme="minorHAnsi" w:hAnsiTheme="minorHAnsi"/>
          <w:sz w:val="22"/>
          <w:szCs w:val="22"/>
        </w:rPr>
        <w:t xml:space="preserve">. </w:t>
      </w:r>
      <w:r w:rsidR="00FB536A">
        <w:rPr>
          <w:rFonts w:asciiTheme="minorHAnsi" w:hAnsiTheme="minorHAnsi"/>
          <w:sz w:val="22"/>
          <w:szCs w:val="22"/>
        </w:rPr>
        <w:t xml:space="preserve">Source information for correlation co-efficient </w:t>
      </w:r>
      <w:bookmarkStart w:id="0" w:name="_GoBack"/>
      <w:bookmarkEnd w:id="0"/>
      <w:r w:rsidR="00FB536A">
        <w:rPr>
          <w:rFonts w:asciiTheme="minorHAnsi" w:hAnsiTheme="minorHAnsi"/>
          <w:sz w:val="22"/>
          <w:szCs w:val="22"/>
        </w:rPr>
        <w:t xml:space="preserve">is provided as Suppl. Table 12. Figure </w:t>
      </w:r>
      <w:r w:rsidR="00672452">
        <w:rPr>
          <w:rFonts w:asciiTheme="minorHAnsi" w:hAnsiTheme="minorHAnsi"/>
          <w:sz w:val="22"/>
          <w:szCs w:val="22"/>
        </w:rPr>
        <w:t xml:space="preserve">Gene lists of B2 SRGs and randomly selected genes are provided in separate </w:t>
      </w:r>
      <w:proofErr w:type="gramStart"/>
      <w:r w:rsidR="00672452">
        <w:rPr>
          <w:rFonts w:asciiTheme="minorHAnsi" w:hAnsiTheme="minorHAnsi"/>
          <w:sz w:val="22"/>
          <w:szCs w:val="22"/>
        </w:rPr>
        <w:t>tables  in</w:t>
      </w:r>
      <w:proofErr w:type="gramEnd"/>
      <w:r w:rsidR="00672452">
        <w:rPr>
          <w:rFonts w:asciiTheme="minorHAnsi" w:hAnsiTheme="minorHAnsi"/>
          <w:sz w:val="22"/>
          <w:szCs w:val="22"/>
        </w:rPr>
        <w:t xml:space="preserve"> supplemental data</w:t>
      </w:r>
      <w:r w:rsidR="00FB536A">
        <w:rPr>
          <w:rFonts w:asciiTheme="minorHAnsi" w:hAnsiTheme="minorHAnsi"/>
          <w:sz w:val="22"/>
          <w:szCs w:val="22"/>
        </w:rPr>
        <w:t xml:space="preserve"> (Suppl. Table1 and 13, respectively)</w:t>
      </w:r>
      <w:r w:rsidR="00672452">
        <w:rPr>
          <w:rFonts w:asciiTheme="minorHAnsi" w:hAnsiTheme="minorHAnsi"/>
          <w:sz w:val="22"/>
          <w:szCs w:val="22"/>
        </w:rPr>
        <w:t>.</w:t>
      </w:r>
      <w:r w:rsidR="00FB536A">
        <w:rPr>
          <w:rFonts w:asciiTheme="minorHAnsi" w:hAnsiTheme="minorHAnsi"/>
          <w:sz w:val="22"/>
          <w:szCs w:val="22"/>
        </w:rPr>
        <w:t xml:space="preserve"> DESeq2, bwa, HISAT2, </w:t>
      </w:r>
      <w:proofErr w:type="spellStart"/>
      <w:r w:rsidR="00FB536A">
        <w:rPr>
          <w:rFonts w:asciiTheme="minorHAnsi" w:hAnsiTheme="minorHAnsi"/>
          <w:sz w:val="22"/>
          <w:szCs w:val="22"/>
        </w:rPr>
        <w:t>samtools</w:t>
      </w:r>
      <w:proofErr w:type="spellEnd"/>
      <w:r w:rsidR="00FB536A">
        <w:rPr>
          <w:rFonts w:asciiTheme="minorHAnsi" w:hAnsiTheme="minorHAnsi"/>
          <w:sz w:val="22"/>
          <w:szCs w:val="22"/>
        </w:rPr>
        <w:t xml:space="preserve"> are publicly available software packages.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2B06"/>
    <w:rsid w:val="0005101D"/>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28B1"/>
    <w:rsid w:val="00175192"/>
    <w:rsid w:val="001E1D59"/>
    <w:rsid w:val="00212F30"/>
    <w:rsid w:val="00217B9E"/>
    <w:rsid w:val="002336C6"/>
    <w:rsid w:val="00241081"/>
    <w:rsid w:val="00266462"/>
    <w:rsid w:val="002A068D"/>
    <w:rsid w:val="002A0ED1"/>
    <w:rsid w:val="002A2C56"/>
    <w:rsid w:val="002A7487"/>
    <w:rsid w:val="00307F5D"/>
    <w:rsid w:val="003248ED"/>
    <w:rsid w:val="003329A7"/>
    <w:rsid w:val="00370080"/>
    <w:rsid w:val="003F19A6"/>
    <w:rsid w:val="00402ADD"/>
    <w:rsid w:val="00406FF4"/>
    <w:rsid w:val="0041682E"/>
    <w:rsid w:val="004215FE"/>
    <w:rsid w:val="004242DB"/>
    <w:rsid w:val="00426FD0"/>
    <w:rsid w:val="00441726"/>
    <w:rsid w:val="00443878"/>
    <w:rsid w:val="004505C5"/>
    <w:rsid w:val="00451B01"/>
    <w:rsid w:val="00455849"/>
    <w:rsid w:val="00471732"/>
    <w:rsid w:val="00482249"/>
    <w:rsid w:val="004A2538"/>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452"/>
    <w:rsid w:val="00672545"/>
    <w:rsid w:val="00680D75"/>
    <w:rsid w:val="00685CCF"/>
    <w:rsid w:val="006A632B"/>
    <w:rsid w:val="006C06F5"/>
    <w:rsid w:val="006C67CE"/>
    <w:rsid w:val="006C7BC3"/>
    <w:rsid w:val="006E4A6C"/>
    <w:rsid w:val="006E6B2A"/>
    <w:rsid w:val="00700103"/>
    <w:rsid w:val="007137E1"/>
    <w:rsid w:val="00734150"/>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82342"/>
    <w:rsid w:val="00B94C5D"/>
    <w:rsid w:val="00BA4D1B"/>
    <w:rsid w:val="00BA5BB7"/>
    <w:rsid w:val="00BB00D0"/>
    <w:rsid w:val="00BB55EC"/>
    <w:rsid w:val="00BC3CCE"/>
    <w:rsid w:val="00BE0EFC"/>
    <w:rsid w:val="00C1184B"/>
    <w:rsid w:val="00C21D14"/>
    <w:rsid w:val="00C24CF7"/>
    <w:rsid w:val="00C42ECB"/>
    <w:rsid w:val="00C52A77"/>
    <w:rsid w:val="00C603DE"/>
    <w:rsid w:val="00C75013"/>
    <w:rsid w:val="00C820B0"/>
    <w:rsid w:val="00CC53FD"/>
    <w:rsid w:val="00CC6EF3"/>
    <w:rsid w:val="00CD18C5"/>
    <w:rsid w:val="00CD6AEC"/>
    <w:rsid w:val="00CE6849"/>
    <w:rsid w:val="00CF123B"/>
    <w:rsid w:val="00CF2F45"/>
    <w:rsid w:val="00CF4BBE"/>
    <w:rsid w:val="00CF6CB5"/>
    <w:rsid w:val="00D10224"/>
    <w:rsid w:val="00D250AA"/>
    <w:rsid w:val="00D31B69"/>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B536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6068-7971-4147-AB5C-736FBAFE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Microsoft Office User</cp:lastModifiedBy>
  <cp:revision>7</cp:revision>
  <dcterms:created xsi:type="dcterms:W3CDTF">2020-09-25T16:11:00Z</dcterms:created>
  <dcterms:modified xsi:type="dcterms:W3CDTF">2020-10-30T01:34:00Z</dcterms:modified>
</cp:coreProperties>
</file>