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0.0" w:type="dxa"/>
        <w:tblBorders>
          <w:top w:color="93cddc" w:space="0" w:sz="4" w:val="single"/>
          <w:left w:color="000000" w:space="0" w:sz="4" w:val="single"/>
          <w:bottom w:color="93cddc" w:space="0" w:sz="4" w:val="single"/>
          <w:right w:color="000000" w:space="0" w:sz="4" w:val="single"/>
          <w:insideH w:color="93cddc" w:space="0" w:sz="4" w:val="single"/>
          <w:insideV w:color="93cddc" w:space="0" w:sz="4" w:val="single"/>
        </w:tblBorders>
        <w:tblLayout w:type="fixed"/>
        <w:tblLook w:val="0400"/>
      </w:tblPr>
      <w:tblGrid>
        <w:gridCol w:w="1499"/>
        <w:gridCol w:w="569"/>
        <w:gridCol w:w="1456"/>
        <w:gridCol w:w="1456"/>
        <w:gridCol w:w="14"/>
        <w:gridCol w:w="1516"/>
        <w:gridCol w:w="1621"/>
        <w:gridCol w:w="2339"/>
        <w:tblGridChange w:id="0">
          <w:tblGrid>
            <w:gridCol w:w="1499"/>
            <w:gridCol w:w="569"/>
            <w:gridCol w:w="1456"/>
            <w:gridCol w:w="1456"/>
            <w:gridCol w:w="14"/>
            <w:gridCol w:w="1516"/>
            <w:gridCol w:w="1621"/>
            <w:gridCol w:w="2339"/>
          </w:tblGrid>
        </w:tblGridChange>
      </w:tblGrid>
      <w:tr>
        <w:trPr>
          <w:trHeight w:val="525" w:hRule="atLeast"/>
        </w:trPr>
        <w:tc>
          <w:tcPr>
            <w:gridSpan w:val="2"/>
            <w:tcBorders>
              <w:top w:color="000000" w:space="0" w:sz="0" w:val="nil"/>
              <w:bottom w:color="fac090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ac090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Still &amp; laser off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ac090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Still &amp; laser 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ac090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ind w:right="-12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Running &amp; laser off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ac090" w:space="0" w:sz="12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ind w:right="-135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Running &amp; laser 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ac09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ind w:left="-180" w:firstLine="0"/>
              <w:rPr>
                <w:rFonts w:ascii="Arial" w:cs="Arial" w:eastAsia="Arial" w:hAnsi="Arial"/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u w:val="single"/>
                <w:rtl w:val="0"/>
              </w:rPr>
              <w:t xml:space="preserve">p-value</w:t>
            </w:r>
          </w:p>
        </w:tc>
      </w:tr>
      <w:tr>
        <w:trPr>
          <w:trHeight w:val="304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7-S1C (n=38 channels)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346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289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1.1e-6</w:t>
            </w:r>
          </w:p>
        </w:tc>
      </w:tr>
      <w:tr>
        <w:trPr>
          <w:trHeight w:val="24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981.4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733.1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1.6e-5</w:t>
            </w:r>
          </w:p>
        </w:tc>
      </w:tr>
      <w:tr>
        <w:trPr>
          <w:trHeight w:val="18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1915.4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1398.3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5.4e-4</w:t>
            </w:r>
          </w:p>
        </w:tc>
      </w:tr>
      <w:tr>
        <w:trPr>
          <w:trHeight w:val="21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7-S1D (n=38 channels)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346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451.1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5.4e-10</w:t>
            </w:r>
          </w:p>
        </w:tc>
      </w:tr>
      <w:tr>
        <w:trPr>
          <w:trHeight w:val="21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981.4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1072.5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2.2e-11</w:t>
            </w:r>
          </w:p>
        </w:tc>
      </w:tr>
      <w:tr>
        <w:trPr>
          <w:trHeight w:val="24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1915.4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2213.4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6.3e-23</w:t>
            </w:r>
          </w:p>
        </w:tc>
      </w:tr>
      <w:tr>
        <w:trPr>
          <w:trHeight w:val="195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7-S1E (n=88 channels, 3 mice)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415.3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388.5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781.0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797.6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0.18 (still), 0.63 (running)</w:t>
            </w:r>
          </w:p>
        </w:tc>
      </w:tr>
      <w:tr>
        <w:trPr>
          <w:trHeight w:val="12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644.8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527.9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857.4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772.1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0.11 (still), 0.14 (running)</w:t>
            </w:r>
          </w:p>
        </w:tc>
      </w:tr>
      <w:tr>
        <w:trPr>
          <w:trHeight w:val="21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1160.4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991.5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1227.9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1184.4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0.04 (still), 0.19 (running)</w:t>
            </w:r>
          </w:p>
        </w:tc>
      </w:tr>
      <w:tr>
        <w:trPr>
          <w:trHeight w:val="18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7-S1H (n=99 channels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-45.1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-24.9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0.52</w:t>
            </w:r>
          </w:p>
        </w:tc>
      </w:tr>
      <w:tr>
        <w:trPr>
          <w:trHeight w:val="12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-57.1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-127.8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5.5e-13</w:t>
            </w:r>
          </w:p>
        </w:tc>
      </w:tr>
      <w:tr>
        <w:trPr>
          <w:trHeight w:val="16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-243.4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1.4e-16</w:t>
            </w:r>
          </w:p>
        </w:tc>
      </w:tr>
      <w:tr>
        <w:trPr>
          <w:trHeight w:val="165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7-S1I (n=76 channels, 3 mice)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2.8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-47.3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52.7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-93.8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0.09 (still), 0.007 (running)</w:t>
            </w:r>
          </w:p>
        </w:tc>
      </w:tr>
      <w:tr>
        <w:trPr>
          <w:trHeight w:val="135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-22.6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-90.4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38.8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-95.3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0.04 (still), 3.2e-3 (running)</w:t>
            </w:r>
          </w:p>
        </w:tc>
      </w:tr>
      <w:tr>
        <w:trPr>
          <w:trHeight w:val="105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5.5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-152.1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32.7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-133.4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0.001 (still), 5.5e-4 (running)</w:t>
            </w:r>
          </w:p>
        </w:tc>
      </w:tr>
      <w:tr>
        <w:trPr>
          <w:trHeight w:val="315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7-S1K (n=158 MU, 35 SU, in 3 mice)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rtl w:val="0"/>
              </w:rPr>
              <w:t xml:space="preserve">6e-7 (still), 6e-9 (running)</w:t>
            </w:r>
          </w:p>
        </w:tc>
      </w:tr>
      <w:tr>
        <w:trPr>
          <w:trHeight w:val="375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10.0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rtl w:val="0"/>
              </w:rPr>
              <w:t xml:space="preserve">0.013 (still), 7e-3 (running)</w:t>
            </w:r>
          </w:p>
        </w:tc>
      </w:tr>
      <w:tr>
        <w:trPr>
          <w:trHeight w:val="18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7-S1L (n=55 MU, 29 SU cells, in 3 mice)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-53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-33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-39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7-S2C (n=18 channels)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575.2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609.5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3.2e-4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1021.0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1166.2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1.9e-4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3137.6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3335.4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1.9e-4</w:t>
            </w:r>
          </w:p>
        </w:tc>
      </w:tr>
      <w:tr>
        <w:trPr>
          <w:trHeight w:val="39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7-S2D (n=18 channels)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491.2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878.8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6.1e-9</w:t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1495.0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1121.6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4.9e-6</w:t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3201.8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3409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0.36e</w:t>
            </w:r>
          </w:p>
        </w:tc>
      </w:tr>
      <w:tr>
        <w:trPr>
          <w:trHeight w:val="390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7-S2E (n=92 channels, 3 mice)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442.1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364.5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752.4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760.1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0.08 (still), 0.82 (running)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665.5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134.8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882.3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748.3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0.94 (still), 0.70 (running)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1120.1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E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1299.1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1234.8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1169.8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0.56 (still), 0.62 (running)</w:t>
            </w:r>
          </w:p>
        </w:tc>
      </w:tr>
      <w:tr>
        <w:trPr>
          <w:trHeight w:val="39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7-S2H (n=19 channels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-147.5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39.8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4.5e-6</w:t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-208.1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-31.3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1.8e-11</w:t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-285.6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79.9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6.4e-19</w:t>
            </w:r>
          </w:p>
        </w:tc>
      </w:tr>
      <w:tr>
        <w:trPr>
          <w:trHeight w:val="390" w:hRule="atLeast"/>
        </w:trPr>
        <w:tc>
          <w:tcPr>
            <w:vMerge w:val="restart"/>
            <w:shd w:fill="fdeada" w:val="clear"/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7-S2I (n=81 channels, 3 mice)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θ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-83.1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-27.4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0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-31.1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49.8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0.04 (still), 0.04 (running)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-109.2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-88.3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-96.7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-28.8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0.44 (still), 0.10 (running)</w:t>
            </w:r>
          </w:p>
        </w:tc>
      </w:tr>
      <w:tr>
        <w:trPr>
          <w:trHeight w:val="390" w:hRule="atLeast"/>
        </w:trPr>
        <w:tc>
          <w:tcPr>
            <w:vMerge w:val="continue"/>
            <w:shd w:fill="fdeada" w:val="clear"/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γ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112.1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127.3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171.4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229.5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0.56 (still), 0.23 (running)</w:t>
            </w:r>
          </w:p>
        </w:tc>
      </w:tr>
      <w:tr>
        <w:trPr>
          <w:trHeight w:val="39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7-S2K (n=85 BS, 49 NS, in 3 mice)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9.4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rtl w:val="0"/>
              </w:rPr>
              <w:t xml:space="preserve">4e-4 (still), 9e-5 (running)</w:t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11.1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12.3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13.8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15.1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center"/>
              <w:rPr>
                <w:rFonts w:ascii="Arial" w:cs="Arial" w:eastAsia="Arial" w:hAnsi="Arial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rtl w:val="0"/>
              </w:rPr>
              <w:t xml:space="preserve">0.31 (still), 0.22 (running)</w:t>
            </w:r>
          </w:p>
        </w:tc>
      </w:tr>
      <w:tr>
        <w:trPr>
          <w:trHeight w:val="39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36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Fig. 7-S2L (n=93 BS, 22 NS cells, in 4 mice)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-21.1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-15.1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34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-1.0</w:t>
            </w:r>
          </w:p>
        </w:tc>
        <w:tc>
          <w:tcPr>
            <w:gridSpan w:val="2"/>
            <w:shd w:fill="fdeada" w:val="clear"/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-4.2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2.6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0.9</w:t>
            </w:r>
          </w:p>
        </w:tc>
        <w:tc>
          <w:tcPr>
            <w:shd w:fill="fdeada" w:val="clear"/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Figure 7—source data 1.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Results of significance testing across different conditions. Power amplitudes are in units of 1,000*uV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/Hz and firing rates are in Hz. MU: multi-unit, SU: single-unit.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241C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M1Wt7OOoJa9XOtMmTOIR9jzog==">AMUW2mX1YCNTGiRraAwrpeNRkVTbV3/ld+JL4T5hqLSqmgaHZxl1FfKUsqrhJTElkiG3VXSnXtJ1nPN3/n0/I43gZ43sYIdtKGiugeV9YcSgjuYcGdR5jmlKzqA4kPkTVIAQV5aiZSIR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2020-12-16T02:13:00Z</dcterms:created>
  <dc:creator>Microsoft Office User</dc:creator>
</cp:coreProperties>
</file>