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55F7B" w14:textId="3D988917" w:rsidR="00FE3A39" w:rsidRPr="007D1A81" w:rsidRDefault="00FE3A39" w:rsidP="00FE3A39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7D1A81">
        <w:rPr>
          <w:rFonts w:ascii="Arial" w:hAnsi="Arial" w:cs="Arial"/>
          <w:sz w:val="24"/>
          <w:szCs w:val="24"/>
        </w:rPr>
        <w:t>Supplementa</w:t>
      </w:r>
      <w:r>
        <w:rPr>
          <w:rFonts w:ascii="Arial" w:hAnsi="Arial" w:cs="Arial"/>
          <w:sz w:val="24"/>
          <w:szCs w:val="24"/>
        </w:rPr>
        <w:t>ry</w:t>
      </w:r>
      <w:r w:rsidRPr="007D1A81">
        <w:rPr>
          <w:rFonts w:ascii="Arial" w:hAnsi="Arial" w:cs="Arial"/>
          <w:sz w:val="24"/>
          <w:szCs w:val="24"/>
        </w:rPr>
        <w:t xml:space="preserve"> File</w:t>
      </w:r>
      <w:r>
        <w:rPr>
          <w:rFonts w:ascii="Arial" w:hAnsi="Arial" w:cs="Arial"/>
          <w:sz w:val="24"/>
          <w:szCs w:val="24"/>
        </w:rPr>
        <w:t xml:space="preserve"> </w:t>
      </w:r>
      <w:r w:rsidR="00D76B88">
        <w:rPr>
          <w:rFonts w:ascii="Arial" w:hAnsi="Arial" w:cs="Arial"/>
          <w:sz w:val="24"/>
          <w:szCs w:val="24"/>
        </w:rPr>
        <w:t>2</w:t>
      </w:r>
    </w:p>
    <w:p w14:paraId="468CCFB8" w14:textId="77777777" w:rsidR="00FE3A39" w:rsidRPr="007D1A81" w:rsidRDefault="00FE3A39" w:rsidP="00FE3A39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23099E1D" w14:textId="77777777" w:rsidR="00FE3A39" w:rsidRPr="007D1A81" w:rsidRDefault="00FE3A39" w:rsidP="00FE3A39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7D1A81">
        <w:rPr>
          <w:rFonts w:ascii="Arial" w:hAnsi="Arial" w:cs="Arial"/>
          <w:sz w:val="24"/>
          <w:szCs w:val="24"/>
        </w:rPr>
        <w:t>“Zinc shapes the folding landscape of p53 and establishes a pathway for reactivating structurally diverse cancer mutants”</w:t>
      </w:r>
    </w:p>
    <w:p w14:paraId="430370F6" w14:textId="77777777" w:rsidR="00FE3A39" w:rsidRPr="007D1A81" w:rsidRDefault="00FE3A39" w:rsidP="00FE3A39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14:paraId="76117092" w14:textId="77777777" w:rsidR="00FE3A39" w:rsidRPr="007D1A81" w:rsidRDefault="00FE3A39" w:rsidP="00FE3A39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7D1A81">
        <w:rPr>
          <w:rFonts w:ascii="Arial" w:hAnsi="Arial" w:cs="Arial"/>
          <w:sz w:val="24"/>
          <w:szCs w:val="24"/>
        </w:rPr>
        <w:t>Adam R. Blanden</w:t>
      </w:r>
      <w:r w:rsidRPr="007D1A81">
        <w:rPr>
          <w:rFonts w:ascii="Arial" w:hAnsi="Arial" w:cs="Arial"/>
          <w:sz w:val="24"/>
          <w:szCs w:val="24"/>
          <w:vertAlign w:val="superscript"/>
        </w:rPr>
        <w:t>1</w:t>
      </w:r>
      <w:r w:rsidRPr="007D1A81">
        <w:rPr>
          <w:rFonts w:ascii="Arial" w:hAnsi="Arial" w:cs="Arial"/>
          <w:sz w:val="24"/>
          <w:szCs w:val="24"/>
        </w:rPr>
        <w:t>, Xin Yu</w:t>
      </w:r>
      <w:r w:rsidRPr="007D1A81">
        <w:rPr>
          <w:rFonts w:ascii="Arial" w:hAnsi="Arial" w:cs="Arial"/>
          <w:sz w:val="24"/>
          <w:szCs w:val="24"/>
          <w:vertAlign w:val="superscript"/>
        </w:rPr>
        <w:t>1</w:t>
      </w:r>
      <w:r w:rsidRPr="007D1A81">
        <w:rPr>
          <w:rFonts w:ascii="Arial" w:hAnsi="Arial" w:cs="Arial"/>
          <w:sz w:val="24"/>
          <w:szCs w:val="24"/>
        </w:rPr>
        <w:t>, Alan J. Blayney, Christopher Demas, Jeung-Hoi Ha, Yue Liu, Tracy Withers, Darren R. Carpizo</w:t>
      </w:r>
      <w:r w:rsidRPr="007D1A81">
        <w:rPr>
          <w:rFonts w:ascii="Arial" w:hAnsi="Arial" w:cs="Arial"/>
          <w:sz w:val="24"/>
          <w:szCs w:val="24"/>
          <w:vertAlign w:val="superscript"/>
        </w:rPr>
        <w:t>*</w:t>
      </w:r>
      <w:r w:rsidRPr="007D1A81">
        <w:rPr>
          <w:rFonts w:ascii="Arial" w:hAnsi="Arial" w:cs="Arial"/>
          <w:sz w:val="24"/>
          <w:szCs w:val="24"/>
        </w:rPr>
        <w:t>, Stewart N. Loh</w:t>
      </w:r>
      <w:r w:rsidRPr="007D1A81">
        <w:rPr>
          <w:rFonts w:ascii="Arial" w:hAnsi="Arial" w:cs="Arial"/>
          <w:sz w:val="24"/>
          <w:szCs w:val="24"/>
          <w:vertAlign w:val="superscript"/>
        </w:rPr>
        <w:t>*</w:t>
      </w:r>
    </w:p>
    <w:p w14:paraId="16187DC3" w14:textId="77777777" w:rsidR="00FE3A39" w:rsidRPr="008C035F" w:rsidRDefault="00FE3A39" w:rsidP="00FE3A39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9D6AE5" w14:textId="77777777" w:rsidR="00FE3A39" w:rsidRPr="00AF16EF" w:rsidRDefault="00FE3A39" w:rsidP="00FE3A39">
      <w:pPr>
        <w:spacing w:after="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49AE67" w14:textId="77777777" w:rsidR="00FF6F32" w:rsidRDefault="00FF6F32" w:rsidP="00792386">
      <w:pPr>
        <w:spacing w:after="0" w:line="480" w:lineRule="auto"/>
        <w:rPr>
          <w:rFonts w:ascii="Arial" w:hAnsi="Arial" w:cs="Arial"/>
          <w:b/>
          <w:bCs/>
        </w:rPr>
      </w:pPr>
    </w:p>
    <w:p w14:paraId="58110E64" w14:textId="77777777" w:rsidR="00FF6F32" w:rsidRDefault="00FF6F32" w:rsidP="00792386">
      <w:pPr>
        <w:spacing w:after="0" w:line="480" w:lineRule="auto"/>
        <w:rPr>
          <w:rFonts w:ascii="Arial" w:hAnsi="Arial" w:cs="Arial"/>
          <w:b/>
          <w:bCs/>
        </w:rPr>
      </w:pPr>
    </w:p>
    <w:p w14:paraId="144B90A2" w14:textId="3693C0E6" w:rsidR="00792386" w:rsidRDefault="00792386" w:rsidP="00792386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A: </w:t>
      </w:r>
      <w:r>
        <w:rPr>
          <w:rFonts w:ascii="Arial" w:hAnsi="Arial" w:cs="Arial"/>
          <w:b/>
          <w:bCs/>
        </w:rPr>
        <w:t xml:space="preserve">Materials and </w:t>
      </w:r>
      <w:r w:rsidR="003A77A4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ethods for </w:t>
      </w:r>
      <w:r w:rsidR="00DE61AB">
        <w:rPr>
          <w:rFonts w:ascii="Arial" w:hAnsi="Arial" w:cs="Arial"/>
          <w:b/>
          <w:bCs/>
          <w:i/>
          <w:iCs/>
        </w:rPr>
        <w:t>M</w:t>
      </w:r>
      <w:r w:rsidRPr="00DE61AB">
        <w:rPr>
          <w:rFonts w:ascii="Arial" w:hAnsi="Arial" w:cs="Arial"/>
          <w:b/>
          <w:bCs/>
          <w:i/>
          <w:iCs/>
        </w:rPr>
        <w:t>ycoplasma</w:t>
      </w:r>
      <w:r>
        <w:rPr>
          <w:rFonts w:ascii="Arial" w:hAnsi="Arial" w:cs="Arial"/>
          <w:b/>
          <w:bCs/>
        </w:rPr>
        <w:t xml:space="preserve"> </w:t>
      </w:r>
      <w:r w:rsidR="003A77A4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esting</w:t>
      </w:r>
    </w:p>
    <w:p w14:paraId="31F860E2" w14:textId="77777777" w:rsidR="00792386" w:rsidRDefault="00792386" w:rsidP="00792386">
      <w:pPr>
        <w:spacing w:after="0" w:line="480" w:lineRule="auto"/>
        <w:rPr>
          <w:rFonts w:ascii="Arial" w:hAnsi="Arial" w:cs="Arial"/>
          <w:b/>
          <w:bCs/>
        </w:rPr>
      </w:pPr>
    </w:p>
    <w:p w14:paraId="20A98343" w14:textId="2BFAF092" w:rsidR="00792386" w:rsidRDefault="00792386" w:rsidP="00792386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Supplementary File </w:t>
      </w:r>
      <w:r w:rsidR="0072770F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B: </w:t>
      </w:r>
      <w:r w:rsidR="0072770F">
        <w:rPr>
          <w:rFonts w:ascii="Arial" w:hAnsi="Arial" w:cs="Arial"/>
          <w:b/>
          <w:bCs/>
        </w:rPr>
        <w:t xml:space="preserve">Results of </w:t>
      </w:r>
      <w:r w:rsidR="00DE61AB">
        <w:rPr>
          <w:rFonts w:ascii="Arial" w:hAnsi="Arial" w:cs="Arial"/>
          <w:b/>
          <w:bCs/>
          <w:i/>
          <w:iCs/>
        </w:rPr>
        <w:t>M</w:t>
      </w:r>
      <w:r w:rsidR="0072770F" w:rsidRPr="00DE61AB">
        <w:rPr>
          <w:rFonts w:ascii="Arial" w:hAnsi="Arial" w:cs="Arial"/>
          <w:b/>
          <w:bCs/>
          <w:i/>
          <w:iCs/>
        </w:rPr>
        <w:t>ycoplasma</w:t>
      </w:r>
      <w:r w:rsidR="0072770F">
        <w:rPr>
          <w:rFonts w:ascii="Arial" w:hAnsi="Arial" w:cs="Arial"/>
          <w:b/>
          <w:bCs/>
        </w:rPr>
        <w:t xml:space="preserve"> </w:t>
      </w:r>
      <w:r w:rsidR="003A77A4">
        <w:rPr>
          <w:rFonts w:ascii="Arial" w:hAnsi="Arial" w:cs="Arial"/>
          <w:b/>
          <w:bCs/>
        </w:rPr>
        <w:t>t</w:t>
      </w:r>
      <w:r w:rsidR="0072770F">
        <w:rPr>
          <w:rFonts w:ascii="Arial" w:hAnsi="Arial" w:cs="Arial"/>
          <w:b/>
          <w:bCs/>
        </w:rPr>
        <w:t>esting</w:t>
      </w:r>
    </w:p>
    <w:p w14:paraId="20BFFD24" w14:textId="005EFF76" w:rsidR="00D75DFA" w:rsidRDefault="00D75DF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77AF9E1" w14:textId="6F4713D8" w:rsidR="00D75DFA" w:rsidRDefault="00D75DFA" w:rsidP="00792386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Supplementary File 2A: Materials and </w:t>
      </w:r>
      <w:r w:rsidR="003A77A4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ethods for </w:t>
      </w:r>
      <w:r w:rsidR="00DE61AB">
        <w:rPr>
          <w:rFonts w:ascii="Arial" w:hAnsi="Arial" w:cs="Arial"/>
          <w:b/>
          <w:bCs/>
          <w:i/>
          <w:iCs/>
        </w:rPr>
        <w:t>M</w:t>
      </w:r>
      <w:r w:rsidRPr="00DE61AB">
        <w:rPr>
          <w:rFonts w:ascii="Arial" w:hAnsi="Arial" w:cs="Arial"/>
          <w:b/>
          <w:bCs/>
          <w:i/>
          <w:iCs/>
        </w:rPr>
        <w:t>yocoplasma</w:t>
      </w:r>
      <w:r>
        <w:rPr>
          <w:rFonts w:ascii="Arial" w:hAnsi="Arial" w:cs="Arial"/>
          <w:b/>
          <w:bCs/>
        </w:rPr>
        <w:t xml:space="preserve"> testing</w:t>
      </w:r>
    </w:p>
    <w:p w14:paraId="547D94C0" w14:textId="7CFB9473" w:rsidR="00D75DFA" w:rsidRDefault="004216B4" w:rsidP="00C35EF1">
      <w:pPr>
        <w:spacing w:after="0" w:line="480" w:lineRule="auto"/>
        <w:rPr>
          <w:rFonts w:ascii="Arial" w:eastAsia="DengXian" w:hAnsi="Arial" w:cs="Arial"/>
          <w:lang w:eastAsia="zh-CN"/>
        </w:rPr>
      </w:pPr>
      <w:r w:rsidRPr="004216B4">
        <w:rPr>
          <w:rFonts w:ascii="Arial" w:eastAsia="DengXian" w:hAnsi="Arial" w:cs="Arial"/>
          <w:lang w:eastAsia="zh-CN"/>
        </w:rPr>
        <w:t xml:space="preserve">In this study we used 11 human tumor cell lines which were purchased from </w:t>
      </w:r>
      <w:r w:rsidR="005138BA">
        <w:rPr>
          <w:rFonts w:ascii="Arial" w:eastAsia="DengXian" w:hAnsi="Arial" w:cs="Arial"/>
          <w:lang w:eastAsia="zh-CN"/>
        </w:rPr>
        <w:t>American Type Culture Collection</w:t>
      </w:r>
      <w:r w:rsidR="00074D74">
        <w:rPr>
          <w:rFonts w:ascii="Arial" w:eastAsia="DengXian" w:hAnsi="Arial" w:cs="Arial"/>
          <w:lang w:eastAsia="zh-CN"/>
        </w:rPr>
        <w:t xml:space="preserve"> (</w:t>
      </w:r>
      <w:r w:rsidR="00787A20">
        <w:rPr>
          <w:rFonts w:ascii="Arial" w:eastAsia="DengXian" w:hAnsi="Arial" w:cs="Arial"/>
          <w:lang w:eastAsia="zh-CN"/>
        </w:rPr>
        <w:t xml:space="preserve">ATCC; </w:t>
      </w:r>
      <w:r w:rsidR="00074D74">
        <w:rPr>
          <w:rFonts w:ascii="Arial" w:eastAsia="DengXian" w:hAnsi="Arial" w:cs="Arial"/>
          <w:lang w:eastAsia="zh-CN"/>
        </w:rPr>
        <w:t>Manassas, VA)</w:t>
      </w:r>
      <w:r w:rsidRPr="004216B4">
        <w:rPr>
          <w:rFonts w:ascii="Arial" w:eastAsia="DengXian" w:hAnsi="Arial" w:cs="Arial"/>
          <w:lang w:eastAsia="zh-CN"/>
        </w:rPr>
        <w:t xml:space="preserve"> and confirmed as mycoplasma free. To perform the mycoplasma test, the cells were seeded in 6-well </w:t>
      </w:r>
      <w:r w:rsidR="00646BE9">
        <w:rPr>
          <w:rFonts w:ascii="Arial" w:eastAsia="DengXian" w:hAnsi="Arial" w:cs="Arial"/>
          <w:lang w:eastAsia="zh-CN"/>
        </w:rPr>
        <w:t>plates</w:t>
      </w:r>
      <w:r w:rsidR="004F266B">
        <w:rPr>
          <w:rFonts w:ascii="Arial" w:eastAsia="DengXian" w:hAnsi="Arial" w:cs="Arial"/>
          <w:lang w:eastAsia="zh-CN"/>
        </w:rPr>
        <w:t xml:space="preserve"> </w:t>
      </w:r>
      <w:r w:rsidRPr="004216B4">
        <w:rPr>
          <w:rFonts w:ascii="Arial" w:eastAsia="DengXian" w:hAnsi="Arial" w:cs="Arial"/>
          <w:lang w:eastAsia="zh-CN"/>
        </w:rPr>
        <w:t xml:space="preserve">and </w:t>
      </w:r>
      <w:r w:rsidR="00BA6E6C">
        <w:rPr>
          <w:rFonts w:ascii="Arial" w:eastAsia="DengXian" w:hAnsi="Arial" w:cs="Arial"/>
          <w:lang w:eastAsia="zh-CN"/>
        </w:rPr>
        <w:t>grown to</w:t>
      </w:r>
      <w:r w:rsidR="009B401C">
        <w:rPr>
          <w:rFonts w:ascii="Arial" w:eastAsia="DengXian" w:hAnsi="Arial" w:cs="Arial"/>
          <w:lang w:eastAsia="zh-CN"/>
        </w:rPr>
        <w:t xml:space="preserve"> </w:t>
      </w:r>
      <w:r w:rsidRPr="004216B4">
        <w:rPr>
          <w:rFonts w:ascii="Arial" w:eastAsia="DengXian" w:hAnsi="Arial" w:cs="Arial"/>
          <w:lang w:eastAsia="zh-CN"/>
        </w:rPr>
        <w:t xml:space="preserve">50-70% </w:t>
      </w:r>
      <w:r w:rsidR="009B401C">
        <w:rPr>
          <w:rFonts w:ascii="Arial" w:eastAsia="DengXian" w:hAnsi="Arial" w:cs="Arial"/>
          <w:lang w:eastAsia="zh-CN"/>
        </w:rPr>
        <w:t xml:space="preserve">confluency. Cells were </w:t>
      </w:r>
      <w:r w:rsidR="00BA6E6C">
        <w:rPr>
          <w:rFonts w:ascii="Arial" w:eastAsia="DengXian" w:hAnsi="Arial" w:cs="Arial"/>
          <w:lang w:eastAsia="zh-CN"/>
        </w:rPr>
        <w:t>harvested and lysed</w:t>
      </w:r>
      <w:r w:rsidR="00074D74">
        <w:rPr>
          <w:rFonts w:ascii="Arial" w:eastAsia="DengXian" w:hAnsi="Arial" w:cs="Arial"/>
          <w:lang w:eastAsia="zh-CN"/>
        </w:rPr>
        <w:t xml:space="preserve"> </w:t>
      </w:r>
      <w:r w:rsidR="00787A20">
        <w:rPr>
          <w:rFonts w:ascii="Arial" w:eastAsia="DengXian" w:hAnsi="Arial" w:cs="Arial"/>
          <w:lang w:eastAsia="zh-CN"/>
        </w:rPr>
        <w:t>following the instructions provided in the Universal Mycoplasma Detection Kit (ATCC, identifier 30-1012K</w:t>
      </w:r>
      <w:r w:rsidR="00C35EF1">
        <w:rPr>
          <w:rFonts w:ascii="Arial" w:eastAsia="DengXian" w:hAnsi="Arial" w:cs="Arial"/>
          <w:lang w:eastAsia="zh-CN"/>
        </w:rPr>
        <w:t>). PCR reactions were set up using the</w:t>
      </w:r>
      <w:r w:rsidR="00CD6A86">
        <w:rPr>
          <w:rFonts w:ascii="Arial" w:eastAsia="DengXian" w:hAnsi="Arial" w:cs="Arial"/>
          <w:lang w:eastAsia="zh-CN"/>
        </w:rPr>
        <w:t xml:space="preserve"> instructions and </w:t>
      </w:r>
      <w:r w:rsidR="00C35EF1">
        <w:rPr>
          <w:rFonts w:ascii="Arial" w:eastAsia="DengXian" w:hAnsi="Arial" w:cs="Arial"/>
          <w:lang w:eastAsia="zh-CN"/>
        </w:rPr>
        <w:t xml:space="preserve"> reagents contained in the </w:t>
      </w:r>
      <w:r w:rsidR="00C35EF1">
        <w:rPr>
          <w:rFonts w:ascii="Arial" w:eastAsia="DengXian" w:hAnsi="Arial" w:cs="Arial"/>
          <w:lang w:eastAsia="zh-CN"/>
        </w:rPr>
        <w:t>Universal Mycoplasma Detection Kit</w:t>
      </w:r>
      <w:r w:rsidR="00C35EF1">
        <w:rPr>
          <w:rFonts w:ascii="Arial" w:eastAsia="DengXian" w:hAnsi="Arial" w:cs="Arial"/>
          <w:lang w:eastAsia="zh-CN"/>
        </w:rPr>
        <w:t>.</w:t>
      </w:r>
      <w:r w:rsidRPr="004216B4">
        <w:rPr>
          <w:rFonts w:ascii="Arial" w:eastAsia="DengXian" w:hAnsi="Arial" w:cs="Arial"/>
          <w:lang w:eastAsia="zh-CN"/>
        </w:rPr>
        <w:t xml:space="preserve"> The positive control </w:t>
      </w:r>
      <w:r w:rsidR="00C35EF1">
        <w:rPr>
          <w:rFonts w:ascii="Arial" w:eastAsia="DengXian" w:hAnsi="Arial" w:cs="Arial"/>
          <w:lang w:eastAsia="zh-CN"/>
        </w:rPr>
        <w:t>wa</w:t>
      </w:r>
      <w:r w:rsidRPr="004216B4">
        <w:rPr>
          <w:rFonts w:ascii="Arial" w:eastAsia="DengXian" w:hAnsi="Arial" w:cs="Arial"/>
          <w:lang w:eastAsia="zh-CN"/>
        </w:rPr>
        <w:t xml:space="preserve">s provided </w:t>
      </w:r>
      <w:r w:rsidR="00C35EF1">
        <w:rPr>
          <w:rFonts w:ascii="Arial" w:eastAsia="DengXian" w:hAnsi="Arial" w:cs="Arial"/>
          <w:lang w:eastAsia="zh-CN"/>
        </w:rPr>
        <w:t>by</w:t>
      </w:r>
      <w:r w:rsidRPr="004216B4">
        <w:rPr>
          <w:rFonts w:ascii="Arial" w:eastAsia="DengXian" w:hAnsi="Arial" w:cs="Arial"/>
          <w:lang w:eastAsia="zh-CN"/>
        </w:rPr>
        <w:t xml:space="preserve"> the kit. The negative control </w:t>
      </w:r>
      <w:r w:rsidR="00CD6A86">
        <w:rPr>
          <w:rFonts w:ascii="Arial" w:eastAsia="DengXian" w:hAnsi="Arial" w:cs="Arial"/>
          <w:lang w:eastAsia="zh-CN"/>
        </w:rPr>
        <w:t>wa</w:t>
      </w:r>
      <w:r w:rsidRPr="004216B4">
        <w:rPr>
          <w:rFonts w:ascii="Arial" w:eastAsia="DengXian" w:hAnsi="Arial" w:cs="Arial"/>
          <w:lang w:eastAsia="zh-CN"/>
        </w:rPr>
        <w:t xml:space="preserve">s the PCR master mix with lysis buffer. The PCR product </w:t>
      </w:r>
      <w:r w:rsidR="00CD6A86">
        <w:rPr>
          <w:rFonts w:ascii="Arial" w:eastAsia="DengXian" w:hAnsi="Arial" w:cs="Arial"/>
          <w:lang w:eastAsia="zh-CN"/>
        </w:rPr>
        <w:t>wa</w:t>
      </w:r>
      <w:r w:rsidRPr="004216B4">
        <w:rPr>
          <w:rFonts w:ascii="Arial" w:eastAsia="DengXian" w:hAnsi="Arial" w:cs="Arial"/>
          <w:lang w:eastAsia="zh-CN"/>
        </w:rPr>
        <w:t>s detected by running the</w:t>
      </w:r>
      <w:r w:rsidR="00CD6A86">
        <w:rPr>
          <w:rFonts w:ascii="Arial" w:eastAsia="DengXian" w:hAnsi="Arial" w:cs="Arial"/>
          <w:lang w:eastAsia="zh-CN"/>
        </w:rPr>
        <w:t xml:space="preserve"> products on a</w:t>
      </w:r>
      <w:r w:rsidR="0002512E">
        <w:rPr>
          <w:rFonts w:ascii="Arial" w:eastAsia="DengXian" w:hAnsi="Arial" w:cs="Arial"/>
          <w:lang w:eastAsia="zh-CN"/>
        </w:rPr>
        <w:t xml:space="preserve"> 3 %</w:t>
      </w:r>
      <w:r w:rsidRPr="004216B4">
        <w:rPr>
          <w:rFonts w:ascii="Arial" w:eastAsia="DengXian" w:hAnsi="Arial" w:cs="Arial"/>
          <w:lang w:eastAsia="zh-CN"/>
        </w:rPr>
        <w:t xml:space="preserve"> agarose gel in </w:t>
      </w:r>
      <w:r w:rsidR="0002512E">
        <w:rPr>
          <w:rFonts w:ascii="Arial" w:eastAsia="DengXian" w:hAnsi="Arial" w:cs="Arial"/>
          <w:lang w:eastAsia="zh-CN"/>
        </w:rPr>
        <w:t>Tris-acetate-EDTA</w:t>
      </w:r>
      <w:r w:rsidRPr="004216B4">
        <w:rPr>
          <w:rFonts w:ascii="Arial" w:eastAsia="DengXian" w:hAnsi="Arial" w:cs="Arial"/>
          <w:lang w:eastAsia="zh-CN"/>
        </w:rPr>
        <w:t xml:space="preserve"> buffer.</w:t>
      </w:r>
    </w:p>
    <w:p w14:paraId="5A7B07B2" w14:textId="3CE324AF" w:rsidR="0002512E" w:rsidRDefault="0002512E">
      <w:pPr>
        <w:rPr>
          <w:rFonts w:ascii="Arial" w:eastAsia="DengXian" w:hAnsi="Arial" w:cs="Arial"/>
          <w:lang w:eastAsia="zh-CN"/>
        </w:rPr>
      </w:pPr>
      <w:r>
        <w:rPr>
          <w:rFonts w:ascii="Arial" w:eastAsia="DengXian" w:hAnsi="Arial" w:cs="Arial"/>
          <w:lang w:eastAsia="zh-CN"/>
        </w:rPr>
        <w:br w:type="page"/>
      </w:r>
    </w:p>
    <w:p w14:paraId="29C86D72" w14:textId="0105488E" w:rsidR="003A77A4" w:rsidRDefault="003A77A4" w:rsidP="003A77A4">
      <w:pPr>
        <w:spacing w:after="0"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Supplementary File 2A: </w:t>
      </w:r>
      <w:r>
        <w:rPr>
          <w:rFonts w:ascii="Arial" w:hAnsi="Arial" w:cs="Arial"/>
          <w:b/>
          <w:bCs/>
        </w:rPr>
        <w:t>Results of</w:t>
      </w:r>
      <w:r>
        <w:rPr>
          <w:rFonts w:ascii="Arial" w:hAnsi="Arial" w:cs="Arial"/>
          <w:b/>
          <w:bCs/>
        </w:rPr>
        <w:t xml:space="preserve"> </w:t>
      </w:r>
      <w:r w:rsidR="00DE61AB" w:rsidRPr="00DE61AB">
        <w:rPr>
          <w:rFonts w:ascii="Arial" w:hAnsi="Arial" w:cs="Arial"/>
          <w:b/>
          <w:bCs/>
          <w:i/>
          <w:iCs/>
        </w:rPr>
        <w:t>M</w:t>
      </w:r>
      <w:r w:rsidRPr="00DE61AB">
        <w:rPr>
          <w:rFonts w:ascii="Arial" w:hAnsi="Arial" w:cs="Arial"/>
          <w:b/>
          <w:bCs/>
          <w:i/>
          <w:iCs/>
        </w:rPr>
        <w:t>yocoplasma</w:t>
      </w:r>
      <w:r>
        <w:rPr>
          <w:rFonts w:ascii="Arial" w:hAnsi="Arial" w:cs="Arial"/>
          <w:b/>
          <w:bCs/>
        </w:rPr>
        <w:t xml:space="preserve"> t</w:t>
      </w:r>
      <w:r>
        <w:rPr>
          <w:rFonts w:ascii="Arial" w:hAnsi="Arial" w:cs="Arial"/>
          <w:b/>
          <w:bCs/>
        </w:rPr>
        <w:t>esting</w:t>
      </w:r>
    </w:p>
    <w:p w14:paraId="7103326D" w14:textId="2BA80FF5" w:rsidR="0002512E" w:rsidRPr="004216B4" w:rsidRDefault="00956E2A" w:rsidP="00C35EF1">
      <w:pPr>
        <w:spacing w:after="0" w:line="480" w:lineRule="auto"/>
        <w:rPr>
          <w:rFonts w:ascii="Arial" w:hAnsi="Arial" w:cs="Arial"/>
          <w:b/>
          <w:bCs/>
        </w:rPr>
      </w:pPr>
      <w:r w:rsidRPr="00DD3CD7">
        <w:rPr>
          <w:noProof/>
        </w:rPr>
        <w:drawing>
          <wp:inline distT="0" distB="0" distL="0" distR="0" wp14:anchorId="6979045D" wp14:editId="21F461B4">
            <wp:extent cx="5778027" cy="31089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538" cy="311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D3CAC" w14:textId="77777777" w:rsidR="00070409" w:rsidRDefault="00070409" w:rsidP="00792386">
      <w:pPr>
        <w:spacing w:after="0" w:line="480" w:lineRule="auto"/>
        <w:rPr>
          <w:rFonts w:ascii="Arial" w:hAnsi="Arial" w:cs="Arial"/>
        </w:rPr>
      </w:pPr>
    </w:p>
    <w:p w14:paraId="221D6DEB" w14:textId="68957536" w:rsidR="00792386" w:rsidRPr="00956E2A" w:rsidRDefault="00956E2A" w:rsidP="0079238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The figure shows</w:t>
      </w:r>
      <w:r w:rsidR="001D2224">
        <w:rPr>
          <w:rFonts w:ascii="Arial" w:hAnsi="Arial" w:cs="Arial"/>
        </w:rPr>
        <w:t xml:space="preserve"> the PCR products</w:t>
      </w:r>
      <w:r w:rsidR="00070409">
        <w:rPr>
          <w:rFonts w:ascii="Arial" w:hAnsi="Arial" w:cs="Arial"/>
        </w:rPr>
        <w:t xml:space="preserve"> from </w:t>
      </w:r>
      <w:r w:rsidR="00DA5A8D">
        <w:rPr>
          <w:rFonts w:ascii="Arial" w:hAnsi="Arial" w:cs="Arial"/>
          <w:i/>
          <w:iCs/>
        </w:rPr>
        <w:t>M</w:t>
      </w:r>
      <w:bookmarkStart w:id="0" w:name="_GoBack"/>
      <w:bookmarkEnd w:id="0"/>
      <w:r w:rsidR="00070409" w:rsidRPr="00DA5A8D">
        <w:rPr>
          <w:rFonts w:ascii="Arial" w:hAnsi="Arial" w:cs="Arial"/>
          <w:i/>
          <w:iCs/>
        </w:rPr>
        <w:t>ycoplasma</w:t>
      </w:r>
      <w:r w:rsidR="00070409">
        <w:rPr>
          <w:rFonts w:ascii="Arial" w:hAnsi="Arial" w:cs="Arial"/>
        </w:rPr>
        <w:t xml:space="preserve"> tests</w:t>
      </w:r>
      <w:r w:rsidR="001D2224">
        <w:rPr>
          <w:rFonts w:ascii="Arial" w:hAnsi="Arial" w:cs="Arial"/>
        </w:rPr>
        <w:t xml:space="preserve"> of the 11 cell lines used in the study</w:t>
      </w:r>
      <w:r w:rsidR="00070409">
        <w:rPr>
          <w:rFonts w:ascii="Arial" w:hAnsi="Arial" w:cs="Arial"/>
        </w:rPr>
        <w:t>, run on a 3 % agarose gel.</w:t>
      </w:r>
      <w:r w:rsidR="00375465">
        <w:rPr>
          <w:rFonts w:ascii="Arial" w:hAnsi="Arial" w:cs="Arial"/>
        </w:rPr>
        <w:t xml:space="preserve"> </w:t>
      </w:r>
      <w:r w:rsidR="004A2636">
        <w:rPr>
          <w:rFonts w:ascii="Arial" w:hAnsi="Arial" w:cs="Arial"/>
        </w:rPr>
        <w:t xml:space="preserve">The presence of </w:t>
      </w:r>
      <w:r w:rsidR="00DE61AB" w:rsidRPr="004A2636">
        <w:rPr>
          <w:rFonts w:ascii="Arial" w:hAnsi="Arial" w:cs="Arial"/>
          <w:i/>
          <w:iCs/>
        </w:rPr>
        <w:t>Mycoplasma</w:t>
      </w:r>
      <w:r w:rsidR="004A2636">
        <w:rPr>
          <w:rFonts w:ascii="Arial" w:hAnsi="Arial" w:cs="Arial"/>
        </w:rPr>
        <w:t xml:space="preserve"> is</w:t>
      </w:r>
      <w:r w:rsidR="00424DFD">
        <w:rPr>
          <w:rFonts w:ascii="Arial" w:hAnsi="Arial" w:cs="Arial"/>
        </w:rPr>
        <w:t xml:space="preserve"> </w:t>
      </w:r>
      <w:r w:rsidR="009F7CAB">
        <w:rPr>
          <w:rFonts w:ascii="Arial" w:hAnsi="Arial" w:cs="Arial"/>
        </w:rPr>
        <w:t>determined</w:t>
      </w:r>
      <w:r w:rsidR="00424DFD">
        <w:rPr>
          <w:rFonts w:ascii="Arial" w:hAnsi="Arial" w:cs="Arial"/>
        </w:rPr>
        <w:t xml:space="preserve"> by PCR products ranging in size from 434-468 bp</w:t>
      </w:r>
      <w:r w:rsidR="009F7CAB">
        <w:rPr>
          <w:rFonts w:ascii="Arial" w:hAnsi="Arial" w:cs="Arial"/>
        </w:rPr>
        <w:t xml:space="preserve"> (positive control). </w:t>
      </w:r>
      <w:r w:rsidR="00E7766B">
        <w:rPr>
          <w:rFonts w:ascii="Arial" w:hAnsi="Arial" w:cs="Arial"/>
        </w:rPr>
        <w:t xml:space="preserve">No such band was detected in any of the cell lines, verifying that they are </w:t>
      </w:r>
      <w:r w:rsidR="00DA5A8D">
        <w:rPr>
          <w:rFonts w:ascii="Arial" w:hAnsi="Arial" w:cs="Arial"/>
          <w:i/>
          <w:iCs/>
        </w:rPr>
        <w:t>M</w:t>
      </w:r>
      <w:r w:rsidR="00E7766B" w:rsidRPr="00DA5A8D">
        <w:rPr>
          <w:rFonts w:ascii="Arial" w:hAnsi="Arial" w:cs="Arial"/>
          <w:i/>
          <w:iCs/>
        </w:rPr>
        <w:t>ycoplasma</w:t>
      </w:r>
      <w:r w:rsidR="00E7766B">
        <w:rPr>
          <w:rFonts w:ascii="Arial" w:hAnsi="Arial" w:cs="Arial"/>
        </w:rPr>
        <w:t xml:space="preserve"> free.</w:t>
      </w:r>
    </w:p>
    <w:p w14:paraId="6DC083A0" w14:textId="3CA5A736" w:rsidR="00AA1782" w:rsidRDefault="00AA1782"/>
    <w:sectPr w:rsidR="00AA1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39"/>
    <w:rsid w:val="0002512E"/>
    <w:rsid w:val="0005218B"/>
    <w:rsid w:val="00070409"/>
    <w:rsid w:val="00074D74"/>
    <w:rsid w:val="000C6BF7"/>
    <w:rsid w:val="001D2224"/>
    <w:rsid w:val="00375465"/>
    <w:rsid w:val="003A77A4"/>
    <w:rsid w:val="004216B4"/>
    <w:rsid w:val="00424DFD"/>
    <w:rsid w:val="004A2636"/>
    <w:rsid w:val="004F266B"/>
    <w:rsid w:val="005138BA"/>
    <w:rsid w:val="00646BE9"/>
    <w:rsid w:val="00683107"/>
    <w:rsid w:val="0072770F"/>
    <w:rsid w:val="00787A20"/>
    <w:rsid w:val="00792386"/>
    <w:rsid w:val="008C7AF0"/>
    <w:rsid w:val="009509EE"/>
    <w:rsid w:val="00956E2A"/>
    <w:rsid w:val="009B401C"/>
    <w:rsid w:val="009F7CAB"/>
    <w:rsid w:val="00AA1782"/>
    <w:rsid w:val="00BA6E6C"/>
    <w:rsid w:val="00C35EF1"/>
    <w:rsid w:val="00CD6A86"/>
    <w:rsid w:val="00D75DFA"/>
    <w:rsid w:val="00D76B88"/>
    <w:rsid w:val="00DA5A8D"/>
    <w:rsid w:val="00DE61AB"/>
    <w:rsid w:val="00E7766B"/>
    <w:rsid w:val="00FE3A3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4B31"/>
  <w15:chartTrackingRefBased/>
  <w15:docId w15:val="{1A053D7F-96AF-437E-8345-5A58B34DD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Loh</dc:creator>
  <cp:keywords/>
  <dc:description/>
  <cp:lastModifiedBy>Stewart Loh</cp:lastModifiedBy>
  <cp:revision>33</cp:revision>
  <dcterms:created xsi:type="dcterms:W3CDTF">2020-12-01T12:52:00Z</dcterms:created>
  <dcterms:modified xsi:type="dcterms:W3CDTF">2020-12-01T13:18:00Z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2aee17-2da3-4b4e-b6b3-af58d610454a_Enabled">
    <vt:lpwstr>true</vt:lpwstr>
  </property>
  <property fmtid="{D5CDD505-2E9C-101B-9397-08002B2CF9AE}" pid="3" name="MSIP_Label_e02aee17-2da3-4b4e-b6b3-af58d610454a_SetDate">
    <vt:lpwstr>2020-12-01T12:52:27Z</vt:lpwstr>
  </property>
  <property fmtid="{D5CDD505-2E9C-101B-9397-08002B2CF9AE}" pid="4" name="MSIP_Label_e02aee17-2da3-4b4e-b6b3-af58d610454a_Method">
    <vt:lpwstr>Standard</vt:lpwstr>
  </property>
  <property fmtid="{D5CDD505-2E9C-101B-9397-08002B2CF9AE}" pid="5" name="MSIP_Label_e02aee17-2da3-4b4e-b6b3-af58d610454a_Name">
    <vt:lpwstr>SUNY Upstate Medical University Document</vt:lpwstr>
  </property>
  <property fmtid="{D5CDD505-2E9C-101B-9397-08002B2CF9AE}" pid="6" name="MSIP_Label_e02aee17-2da3-4b4e-b6b3-af58d610454a_SiteId">
    <vt:lpwstr>5cf50a66-5e26-41dd-89f8-83cf73ffee98</vt:lpwstr>
  </property>
  <property fmtid="{D5CDD505-2E9C-101B-9397-08002B2CF9AE}" pid="7" name="MSIP_Label_e02aee17-2da3-4b4e-b6b3-af58d610454a_ActionId">
    <vt:lpwstr>78ae5d4c-9810-48d5-a9ab-000000a2fab7</vt:lpwstr>
  </property>
  <property fmtid="{D5CDD505-2E9C-101B-9397-08002B2CF9AE}" pid="8" name="MSIP_Label_e02aee17-2da3-4b4e-b6b3-af58d610454a_ContentBits">
    <vt:lpwstr>0</vt:lpwstr>
  </property>
</Properties>
</file>