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BA7D4F2" w14:textId="77777777" w:rsidR="002A3DDA" w:rsidRPr="00045703" w:rsidRDefault="002A3DDA" w:rsidP="002A3D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algun Gothic" w:hAnsiTheme="minorHAnsi" w:cstheme="minorHAnsi"/>
          <w:sz w:val="22"/>
          <w:szCs w:val="22"/>
          <w:lang w:eastAsia="ko-KR"/>
        </w:rPr>
      </w:pPr>
      <w:r w:rsidRPr="00343D4E">
        <w:rPr>
          <w:rFonts w:asciiTheme="minorHAnsi" w:eastAsia="Malgun Gothic" w:hAnsiTheme="minorHAnsi" w:cstheme="minorHAnsi"/>
          <w:sz w:val="22"/>
          <w:lang w:eastAsia="ko-KR"/>
        </w:rPr>
        <w:t>The sample size estimation was not performed due to the nature of the experiments. But sample size was determined ba</w:t>
      </w:r>
      <w:r w:rsidRPr="00045703">
        <w:rPr>
          <w:rFonts w:asciiTheme="minorHAnsi" w:eastAsia="Malgun Gothic" w:hAnsiTheme="minorHAnsi" w:cstheme="minorHAnsi"/>
          <w:sz w:val="22"/>
          <w:szCs w:val="22"/>
          <w:lang w:eastAsia="ko-KR"/>
        </w:rPr>
        <w:t>sed on previous studies that employed similar methodological approach and samples. These include:</w:t>
      </w:r>
    </w:p>
    <w:p w14:paraId="10A11698" w14:textId="77777777" w:rsidR="002A3DDA" w:rsidRPr="00045703" w:rsidRDefault="002A3DDA" w:rsidP="002A3D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algun Gothic" w:hAnsiTheme="minorHAnsi" w:cstheme="minorHAnsi"/>
          <w:b/>
          <w:sz w:val="22"/>
          <w:szCs w:val="22"/>
          <w:lang w:eastAsia="ko-KR"/>
        </w:rPr>
      </w:pPr>
      <w:r w:rsidRPr="00045703">
        <w:rPr>
          <w:rFonts w:asciiTheme="minorHAnsi" w:eastAsia="Malgun Gothic" w:hAnsiTheme="minorHAnsi" w:cstheme="minorHAnsi" w:hint="eastAsia"/>
          <w:b/>
          <w:sz w:val="22"/>
          <w:szCs w:val="22"/>
          <w:lang w:eastAsia="ko-KR"/>
        </w:rPr>
        <w:t xml:space="preserve">For </w:t>
      </w:r>
      <w:r w:rsidRPr="00045703">
        <w:rPr>
          <w:rFonts w:asciiTheme="minorHAnsi" w:eastAsia="Malgun Gothic" w:hAnsiTheme="minorHAnsi" w:cstheme="minorHAnsi" w:hint="eastAsia"/>
          <w:b/>
          <w:i/>
          <w:sz w:val="22"/>
          <w:szCs w:val="22"/>
          <w:lang w:eastAsia="ko-KR"/>
        </w:rPr>
        <w:t>in vivo</w:t>
      </w:r>
      <w:r w:rsidRPr="00045703">
        <w:rPr>
          <w:rFonts w:asciiTheme="minorHAnsi" w:eastAsia="Malgun Gothic" w:hAnsiTheme="minorHAnsi" w:cstheme="minorHAnsi" w:hint="eastAsia"/>
          <w:b/>
          <w:sz w:val="22"/>
          <w:szCs w:val="22"/>
          <w:lang w:eastAsia="ko-KR"/>
        </w:rPr>
        <w:t>,</w:t>
      </w:r>
    </w:p>
    <w:p w14:paraId="0EEC6E0F" w14:textId="77777777" w:rsidR="002A3DDA" w:rsidRPr="00045703" w:rsidRDefault="002A3DDA" w:rsidP="002A3D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45703">
        <w:rPr>
          <w:rFonts w:asciiTheme="minorHAnsi" w:hAnsiTheme="minorHAnsi" w:cstheme="minorHAnsi"/>
          <w:sz w:val="22"/>
          <w:szCs w:val="22"/>
        </w:rPr>
        <w:t xml:space="preserve">Najafi, F., </w:t>
      </w:r>
      <w:proofErr w:type="spellStart"/>
      <w:r w:rsidRPr="00045703">
        <w:rPr>
          <w:rFonts w:asciiTheme="minorHAnsi" w:hAnsiTheme="minorHAnsi" w:cstheme="minorHAnsi"/>
          <w:sz w:val="22"/>
          <w:szCs w:val="22"/>
        </w:rPr>
        <w:t>Giovannucci</w:t>
      </w:r>
      <w:proofErr w:type="spellEnd"/>
      <w:r w:rsidRPr="00045703">
        <w:rPr>
          <w:rFonts w:asciiTheme="minorHAnsi" w:hAnsiTheme="minorHAnsi" w:cstheme="minorHAnsi"/>
          <w:sz w:val="22"/>
          <w:szCs w:val="22"/>
        </w:rPr>
        <w:t xml:space="preserve">, A., Wang, S. S. &amp; Medina, J. F. Sensory-driven enhancement of calcium signals in individual Purkinje cell dendrites of awake mice. </w:t>
      </w:r>
      <w:r w:rsidRPr="00045703">
        <w:rPr>
          <w:rFonts w:asciiTheme="minorHAnsi" w:hAnsiTheme="minorHAnsi" w:cstheme="minorHAnsi"/>
          <w:i/>
          <w:sz w:val="22"/>
          <w:szCs w:val="22"/>
        </w:rPr>
        <w:t>Cell Rep</w:t>
      </w:r>
      <w:r w:rsidRPr="00045703">
        <w:rPr>
          <w:rFonts w:asciiTheme="minorHAnsi" w:hAnsiTheme="minorHAnsi" w:cstheme="minorHAnsi"/>
          <w:sz w:val="22"/>
          <w:szCs w:val="22"/>
        </w:rPr>
        <w:t xml:space="preserve"> </w:t>
      </w:r>
      <w:r w:rsidRPr="00045703">
        <w:rPr>
          <w:rFonts w:asciiTheme="minorHAnsi" w:hAnsiTheme="minorHAnsi" w:cstheme="minorHAnsi"/>
          <w:b/>
          <w:sz w:val="22"/>
          <w:szCs w:val="22"/>
        </w:rPr>
        <w:t>6</w:t>
      </w:r>
      <w:r w:rsidRPr="00045703">
        <w:rPr>
          <w:rFonts w:asciiTheme="minorHAnsi" w:hAnsiTheme="minorHAnsi" w:cstheme="minorHAnsi"/>
          <w:sz w:val="22"/>
          <w:szCs w:val="22"/>
        </w:rPr>
        <w:t xml:space="preserve">, 792-798, </w:t>
      </w:r>
      <w:proofErr w:type="gramStart"/>
      <w:r w:rsidRPr="00045703">
        <w:rPr>
          <w:rFonts w:asciiTheme="minorHAnsi" w:hAnsiTheme="minorHAnsi" w:cstheme="minorHAnsi"/>
          <w:sz w:val="22"/>
          <w:szCs w:val="22"/>
        </w:rPr>
        <w:t>doi:10.1016/j.celrep</w:t>
      </w:r>
      <w:proofErr w:type="gramEnd"/>
      <w:r w:rsidRPr="00045703">
        <w:rPr>
          <w:rFonts w:asciiTheme="minorHAnsi" w:hAnsiTheme="minorHAnsi" w:cstheme="minorHAnsi"/>
          <w:sz w:val="22"/>
          <w:szCs w:val="22"/>
        </w:rPr>
        <w:t>.2014.02.001 (2014).</w:t>
      </w:r>
    </w:p>
    <w:p w14:paraId="1F46E8B4" w14:textId="77777777" w:rsidR="002A3DDA" w:rsidRPr="00045703" w:rsidRDefault="002A3DDA" w:rsidP="002A3D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45703">
        <w:rPr>
          <w:rFonts w:asciiTheme="minorHAnsi" w:hAnsiTheme="minorHAnsi" w:cstheme="minorHAnsi"/>
          <w:sz w:val="22"/>
          <w:szCs w:val="22"/>
        </w:rPr>
        <w:t xml:space="preserve">Najafi, F., </w:t>
      </w:r>
      <w:proofErr w:type="spellStart"/>
      <w:r w:rsidRPr="00045703">
        <w:rPr>
          <w:rFonts w:asciiTheme="minorHAnsi" w:hAnsiTheme="minorHAnsi" w:cstheme="minorHAnsi"/>
          <w:sz w:val="22"/>
          <w:szCs w:val="22"/>
        </w:rPr>
        <w:t>Giovannucci</w:t>
      </w:r>
      <w:proofErr w:type="spellEnd"/>
      <w:r w:rsidRPr="00045703">
        <w:rPr>
          <w:rFonts w:asciiTheme="minorHAnsi" w:hAnsiTheme="minorHAnsi" w:cstheme="minorHAnsi"/>
          <w:sz w:val="22"/>
          <w:szCs w:val="22"/>
        </w:rPr>
        <w:t xml:space="preserve">, A., Wang, S. S. &amp; Medina, J. F. Coding of stimulus strength via analog calcium signals in Purkinje cell dendrites of awake mice. </w:t>
      </w:r>
      <w:proofErr w:type="spellStart"/>
      <w:r w:rsidRPr="00045703">
        <w:rPr>
          <w:rFonts w:asciiTheme="minorHAnsi" w:hAnsiTheme="minorHAnsi" w:cstheme="minorHAnsi"/>
          <w:i/>
          <w:sz w:val="22"/>
          <w:szCs w:val="22"/>
        </w:rPr>
        <w:t>Elife</w:t>
      </w:r>
      <w:proofErr w:type="spellEnd"/>
      <w:r w:rsidRPr="00045703">
        <w:rPr>
          <w:rFonts w:asciiTheme="minorHAnsi" w:hAnsiTheme="minorHAnsi" w:cstheme="minorHAnsi"/>
          <w:sz w:val="22"/>
          <w:szCs w:val="22"/>
        </w:rPr>
        <w:t xml:space="preserve"> </w:t>
      </w:r>
      <w:r w:rsidRPr="00045703">
        <w:rPr>
          <w:rFonts w:asciiTheme="minorHAnsi" w:hAnsiTheme="minorHAnsi" w:cstheme="minorHAnsi"/>
          <w:b/>
          <w:sz w:val="22"/>
          <w:szCs w:val="22"/>
        </w:rPr>
        <w:t>3</w:t>
      </w:r>
      <w:r w:rsidRPr="00045703">
        <w:rPr>
          <w:rFonts w:asciiTheme="minorHAnsi" w:hAnsiTheme="minorHAnsi" w:cstheme="minorHAnsi"/>
          <w:sz w:val="22"/>
          <w:szCs w:val="22"/>
        </w:rPr>
        <w:t>, e03663, doi:10.7554/eLife.03663 (2014).</w:t>
      </w:r>
    </w:p>
    <w:p w14:paraId="283305D7" w14:textId="5D782A48" w:rsidR="00877644" w:rsidRPr="002A3DDA" w:rsidRDefault="002A3DDA" w:rsidP="002A3DDA">
      <w:pPr>
        <w:pStyle w:val="EndNoteBibliography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Theme="minorHAnsi" w:hAnsiTheme="minorHAnsi" w:cstheme="minorHAnsi"/>
          <w:sz w:val="22"/>
        </w:rPr>
      </w:pPr>
      <w:r w:rsidRPr="00045703">
        <w:rPr>
          <w:rFonts w:asciiTheme="minorHAnsi" w:hAnsiTheme="minorHAnsi" w:cstheme="minorHAnsi" w:hint="eastAsia"/>
          <w:b/>
          <w:sz w:val="22"/>
        </w:rPr>
        <w:t>For</w:t>
      </w:r>
      <w:r w:rsidRPr="00045703">
        <w:rPr>
          <w:rFonts w:asciiTheme="minorHAnsi" w:hAnsiTheme="minorHAnsi" w:cstheme="minorHAnsi" w:hint="eastAsia"/>
          <w:b/>
          <w:i/>
          <w:sz w:val="22"/>
        </w:rPr>
        <w:t xml:space="preserve"> </w:t>
      </w:r>
      <w:r w:rsidRPr="00045703">
        <w:rPr>
          <w:rFonts w:asciiTheme="minorHAnsi" w:hAnsiTheme="minorHAnsi" w:cstheme="minorHAnsi"/>
          <w:b/>
          <w:i/>
          <w:sz w:val="22"/>
        </w:rPr>
        <w:t>in vitro</w:t>
      </w:r>
      <w:r w:rsidRPr="00045703">
        <w:rPr>
          <w:rFonts w:asciiTheme="minorHAnsi" w:hAnsiTheme="minorHAnsi" w:cstheme="minorHAnsi"/>
          <w:b/>
          <w:sz w:val="22"/>
        </w:rPr>
        <w:t>,</w:t>
      </w:r>
      <w:r w:rsidRPr="00045703">
        <w:rPr>
          <w:rFonts w:asciiTheme="minorHAnsi" w:hAnsiTheme="minorHAnsi" w:cstheme="minorHAnsi"/>
          <w:sz w:val="22"/>
        </w:rPr>
        <w:br/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Changhyeon Ryu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Dong Cheol Jang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Dayoon Jung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Yong Gyu Kim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Hyun Geun Shim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Hyun-Hee Ryu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Yong-Seok Lee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David J. Linden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Paul F. Worley</w:t>
      </w:r>
      <w:r w:rsidRPr="0004570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 and </w:t>
      </w:r>
      <w:r w:rsidRPr="00045703">
        <w:rPr>
          <w:rStyle w:val="highwire-citation-author"/>
          <w:rFonts w:asciiTheme="minorHAnsi" w:hAnsiTheme="minorHAnsi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>Sang Jeong Kim</w:t>
      </w:r>
      <w:r w:rsidRPr="00045703">
        <w:rPr>
          <w:rFonts w:asciiTheme="minorHAnsi" w:hAnsiTheme="minorHAnsi" w:cstheme="minorHAnsi"/>
          <w:color w:val="000000" w:themeColor="text1"/>
          <w:sz w:val="22"/>
        </w:rPr>
        <w:t xml:space="preserve"> STIM1</w:t>
      </w:r>
      <w:r w:rsidRPr="00045703">
        <w:rPr>
          <w:rFonts w:asciiTheme="minorHAnsi" w:hAnsiTheme="minorHAnsi" w:cstheme="minorHAnsi"/>
          <w:sz w:val="22"/>
        </w:rPr>
        <w:t xml:space="preserve"> Regulates Somatic Ca2+ Signals and Intrinsic Firing Properties of Cerebellar Purkinje Neurons. </w:t>
      </w:r>
      <w:r w:rsidRPr="00045703">
        <w:rPr>
          <w:rFonts w:asciiTheme="minorHAnsi" w:hAnsiTheme="minorHAnsi" w:cstheme="minorHAnsi"/>
          <w:i/>
          <w:sz w:val="22"/>
        </w:rPr>
        <w:t>J Neurosci</w:t>
      </w:r>
      <w:r w:rsidRPr="00045703">
        <w:rPr>
          <w:rFonts w:asciiTheme="minorHAnsi" w:hAnsiTheme="minorHAnsi" w:cstheme="minorHAnsi"/>
          <w:sz w:val="22"/>
        </w:rPr>
        <w:t xml:space="preserve"> </w:t>
      </w:r>
      <w:r w:rsidRPr="00045703">
        <w:rPr>
          <w:rFonts w:asciiTheme="minorHAnsi" w:hAnsiTheme="minorHAnsi" w:cstheme="minorHAnsi"/>
          <w:b/>
          <w:sz w:val="22"/>
        </w:rPr>
        <w:t>37</w:t>
      </w:r>
      <w:r w:rsidRPr="00045703">
        <w:rPr>
          <w:rFonts w:asciiTheme="minorHAnsi" w:hAnsiTheme="minorHAnsi" w:cstheme="minorHAnsi"/>
          <w:sz w:val="22"/>
        </w:rPr>
        <w:t>, 8876-8894, doi:10.1523/JNEUROSCI.3973-16.2017 (2017).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264042" w14:textId="7245D667" w:rsidR="007F2D19" w:rsidRPr="00343D4E" w:rsidRDefault="007F2D19" w:rsidP="007F2D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algun Gothic" w:hAnsiTheme="minorHAnsi" w:cstheme="minorHAnsi"/>
          <w:sz w:val="22"/>
          <w:lang w:eastAsia="ko-KR"/>
        </w:rPr>
      </w:pPr>
      <w:r w:rsidRPr="00343D4E">
        <w:rPr>
          <w:rFonts w:asciiTheme="minorHAnsi" w:eastAsia="Malgun Gothic" w:hAnsiTheme="minorHAnsi" w:cstheme="minorHAnsi" w:hint="eastAsia"/>
          <w:sz w:val="22"/>
          <w:lang w:eastAsia="ko-KR"/>
        </w:rPr>
        <w:t xml:space="preserve">Replicate information </w:t>
      </w:r>
      <w:r w:rsidRPr="00343D4E">
        <w:rPr>
          <w:rFonts w:asciiTheme="minorHAnsi" w:eastAsia="Malgun Gothic" w:hAnsiTheme="minorHAnsi" w:cstheme="minorHAnsi"/>
          <w:sz w:val="22"/>
          <w:lang w:eastAsia="ko-KR"/>
        </w:rPr>
        <w:t>was provided in figure</w:t>
      </w:r>
      <w:r>
        <w:rPr>
          <w:rFonts w:asciiTheme="minorHAnsi" w:eastAsia="Malgun Gothic" w:hAnsiTheme="minorHAnsi" w:cstheme="minorHAnsi"/>
          <w:sz w:val="22"/>
          <w:lang w:eastAsia="ko-KR"/>
        </w:rPr>
        <w:t xml:space="preserve"> legends as the number of cells, sessions </w:t>
      </w:r>
      <w:r w:rsidRPr="00343D4E">
        <w:rPr>
          <w:rFonts w:asciiTheme="minorHAnsi" w:eastAsia="Malgun Gothic" w:hAnsiTheme="minorHAnsi" w:cstheme="minorHAnsi"/>
          <w:sz w:val="22"/>
          <w:lang w:eastAsia="ko-KR"/>
        </w:rPr>
        <w:t xml:space="preserve">and </w:t>
      </w:r>
      <w:r>
        <w:rPr>
          <w:rFonts w:asciiTheme="minorHAnsi" w:eastAsia="Malgun Gothic" w:hAnsiTheme="minorHAnsi" w:cstheme="minorHAnsi"/>
          <w:sz w:val="22"/>
          <w:lang w:eastAsia="ko-KR"/>
        </w:rPr>
        <w:t>a</w:t>
      </w:r>
      <w:r w:rsidRPr="00343D4E">
        <w:rPr>
          <w:rFonts w:asciiTheme="minorHAnsi" w:eastAsia="Malgun Gothic" w:hAnsiTheme="minorHAnsi" w:cstheme="minorHAnsi"/>
          <w:sz w:val="22"/>
          <w:lang w:eastAsia="ko-KR"/>
        </w:rPr>
        <w:t>nimals. No outliers were encountered and all data were analyzed.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DB3765B" w14:textId="1D3E4F3F" w:rsidR="007F2D19" w:rsidRPr="00343D4E" w:rsidRDefault="007F2D19" w:rsidP="007F2D1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algun Gothic" w:hAnsiTheme="minorHAnsi" w:cstheme="minorHAnsi"/>
          <w:sz w:val="22"/>
          <w:szCs w:val="22"/>
          <w:lang w:eastAsia="ko-KR"/>
        </w:rPr>
      </w:pPr>
      <w:r w:rsidRPr="00343D4E">
        <w:rPr>
          <w:rFonts w:asciiTheme="minorHAnsi" w:eastAsia="Malgun Gothic" w:hAnsiTheme="minorHAnsi" w:cstheme="minorHAnsi" w:hint="eastAsia"/>
          <w:sz w:val="22"/>
          <w:szCs w:val="22"/>
          <w:lang w:eastAsia="ko-KR"/>
        </w:rPr>
        <w:t xml:space="preserve">Statistical </w:t>
      </w:r>
      <w:r w:rsidRPr="00343D4E"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methods used were </w:t>
      </w:r>
      <w:r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clarified </w:t>
      </w:r>
      <w:r w:rsidRPr="00343D4E"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where </w:t>
      </w:r>
      <w:r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ANOVA test and </w:t>
      </w:r>
      <w:r w:rsidRPr="00343D4E">
        <w:rPr>
          <w:rFonts w:asciiTheme="minorHAnsi" w:eastAsia="Malgun Gothic" w:hAnsiTheme="minorHAnsi" w:cstheme="minorHAnsi"/>
          <w:sz w:val="22"/>
          <w:szCs w:val="22"/>
          <w:lang w:eastAsia="ko-KR"/>
        </w:rPr>
        <w:t>P values were mentioned in Figure legends. They were also explained in the Method section.</w:t>
      </w:r>
      <w:r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 Data were reported to be significant if P &lt; 0.05, P &lt; 0.01, and P &lt; 0.001.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216915" w:rsidR="00BC3CCE" w:rsidRPr="007F2D19" w:rsidRDefault="007F2D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algun Gothic" w:hAnsiTheme="minorHAnsi" w:cstheme="minorHAnsi"/>
          <w:sz w:val="22"/>
          <w:szCs w:val="22"/>
          <w:lang w:eastAsia="ko-KR"/>
        </w:rPr>
      </w:pPr>
      <w:r>
        <w:rPr>
          <w:rFonts w:asciiTheme="minorHAnsi" w:eastAsia="Malgun Gothic" w:hAnsiTheme="minorHAnsi" w:cstheme="minorHAnsi"/>
          <w:sz w:val="22"/>
          <w:szCs w:val="22"/>
          <w:lang w:eastAsia="ko-KR"/>
        </w:rPr>
        <w:t>Basically, cells were allocated into experimental groups if they show healthy morphology and normal calcium activity. Other specific criteria were described in the Method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C0297A9" w14:textId="0B7ED361" w:rsidR="007F2D19" w:rsidRPr="00DE302D" w:rsidRDefault="007F2D19" w:rsidP="007F2D1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Source data were provided </w:t>
      </w:r>
      <w:r w:rsidR="0069122D">
        <w:rPr>
          <w:rFonts w:asciiTheme="minorHAnsi" w:eastAsia="Malgun Gothic" w:hAnsiTheme="minorHAnsi" w:cstheme="minorHAnsi"/>
          <w:sz w:val="22"/>
          <w:szCs w:val="22"/>
          <w:lang w:eastAsia="ko-KR"/>
        </w:rPr>
        <w:t>main figures</w:t>
      </w:r>
      <w:r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 with graphs and statistical tests.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5932F" w14:textId="77777777" w:rsidR="00F704DA" w:rsidRDefault="00F704DA" w:rsidP="004215FE">
      <w:r>
        <w:separator/>
      </w:r>
    </w:p>
  </w:endnote>
  <w:endnote w:type="continuationSeparator" w:id="0">
    <w:p w14:paraId="2678E15E" w14:textId="77777777" w:rsidR="00F704DA" w:rsidRDefault="00F704D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F438" w14:textId="77777777" w:rsidR="00F704DA" w:rsidRDefault="00F704DA" w:rsidP="004215FE">
      <w:r>
        <w:separator/>
      </w:r>
    </w:p>
  </w:footnote>
  <w:footnote w:type="continuationSeparator" w:id="0">
    <w:p w14:paraId="151313C6" w14:textId="77777777" w:rsidR="00F704DA" w:rsidRDefault="00F704D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3DDA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67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116B"/>
    <w:rsid w:val="005B0A15"/>
    <w:rsid w:val="00605A12"/>
    <w:rsid w:val="00634AC7"/>
    <w:rsid w:val="00657587"/>
    <w:rsid w:val="00661DCC"/>
    <w:rsid w:val="00672545"/>
    <w:rsid w:val="00685CCF"/>
    <w:rsid w:val="0069122D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D19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04DA"/>
    <w:rsid w:val="00FA6DDE"/>
    <w:rsid w:val="00FC1F40"/>
    <w:rsid w:val="00FD0F2C"/>
    <w:rsid w:val="00FE362B"/>
    <w:rsid w:val="00FE48C0"/>
    <w:rsid w:val="00FE4CDA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22B9545-98D6-C74D-B718-BA1A74C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A3DDA"/>
    <w:pPr>
      <w:widowControl w:val="0"/>
      <w:wordWrap w:val="0"/>
      <w:autoSpaceDE w:val="0"/>
      <w:autoSpaceDN w:val="0"/>
      <w:spacing w:after="160"/>
      <w:jc w:val="both"/>
    </w:pPr>
    <w:rPr>
      <w:rFonts w:ascii="Malgun Gothic" w:eastAsia="Malgun Gothic" w:hAnsi="Malgun Gothic" w:cstheme="minorBidi"/>
      <w:noProof/>
      <w:kern w:val="2"/>
      <w:sz w:val="20"/>
      <w:szCs w:val="22"/>
      <w:lang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2A3DDA"/>
    <w:rPr>
      <w:rFonts w:ascii="Malgun Gothic" w:eastAsia="Malgun Gothic" w:hAnsi="Malgun Gothic" w:cstheme="minorBidi"/>
      <w:noProof/>
      <w:kern w:val="2"/>
      <w:sz w:val="20"/>
      <w:lang w:eastAsia="ko-KR"/>
    </w:rPr>
  </w:style>
  <w:style w:type="character" w:customStyle="1" w:styleId="highwire-citation-author">
    <w:name w:val="highwire-citation-author"/>
    <w:basedOn w:val="DefaultParagraphFont"/>
    <w:rsid w:val="002A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7E5DE-07D8-B747-A74C-FAE4C259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2020-08-10T06:12:00Z</dcterms:created>
  <dcterms:modified xsi:type="dcterms:W3CDTF">2020-08-10T06:12:00Z</dcterms:modified>
</cp:coreProperties>
</file>