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rPr>
          <w:rFonts w:ascii="Calibri" w:hAnsi="Calibri" w:asciiTheme="minorHAnsi" w:hAnsiTheme="minorHAnsi"/>
          <w:bCs/>
          <w:sz w:val="22"/>
          <w:szCs w:val="22"/>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hyperlink r:id="rId2" w:tgtFrame="_blank">
        <w:r>
          <w:rPr>
            <w:rStyle w:val="InternetLink"/>
            <w:rFonts w:ascii="Calibri" w:hAnsi="Calibri" w:asciiTheme="minorHAnsi" w:hAnsiTheme="minorHAnsi"/>
            <w:bCs/>
            <w:sz w:val="22"/>
            <w:szCs w:val="22"/>
            <w:lang w:val="en-GB"/>
          </w:rPr>
          <w:t>EQUATOR Network</w:t>
        </w:r>
      </w:hyperlink>
      <w:r>
        <w:rPr>
          <w:rFonts w:ascii="Calibri" w:hAnsi="Calibri" w:asciiTheme="minorHAnsi" w:hAnsiTheme="minorHAnsi"/>
          <w:bCs/>
          <w:sz w:val="22"/>
          <w:szCs w:val="22"/>
          <w:lang w:val="en-GB"/>
        </w:rPr>
        <w:t>), life science research (see the </w:t>
      </w:r>
      <w:hyperlink r:id="rId3" w:tgtFrame="_blank">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4" w:tgtFrame="_blank">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rFonts w:ascii="Calibri" w:hAnsi="Calibri" w:asciiTheme="minorHAnsi" w:hAnsiTheme="minorHAnsi"/>
          <w:b/>
          <w:b/>
          <w:bCs/>
          <w:color w:val="3366FF"/>
          <w:sz w:val="22"/>
          <w:szCs w:val="22"/>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5">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lang w:val="en-GB"/>
        </w:rPr>
      </w:pPr>
      <w:r>
        <w:rPr>
          <w:rFonts w:asciiTheme="minorHAnsi" w:hAnsiTheme="minorHAnsi" w:ascii="Calibri" w:hAnsi="Calibri"/>
          <w:sz w:val="22"/>
          <w:szCs w:val="22"/>
          <w:lang w:val="en-GB"/>
        </w:rPr>
      </w:r>
    </w:p>
    <w:p>
      <w:pPr>
        <w:pStyle w:val="Normal"/>
        <w:pBdr/>
        <w:rPr>
          <w:rFonts w:ascii="Calibri" w:hAnsi="Calibri" w:asciiTheme="minorHAnsi" w:hAnsiTheme="minorHAnsi"/>
        </w:rPr>
        <w:framePr w:w="7817" w:h="1088" w:x="1858" w:y="1" w:wrap="auto" w:vAnchor="text" w:hAnchor="page" w:hRule="exact"/>
      </w:pPr>
      <w:r>
        <w:rPr>
          <w:rFonts w:asciiTheme="minorHAnsi" w:hAnsiTheme="minorHAnsi" w:ascii="Calibri" w:hAnsi="Calibri"/>
        </w:rPr>
        <w:t>No new data was generated in this study.</w:t>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ascii="Calibri" w:hAnsi="Calibri"/>
          <w:b/>
          <w:bCs/>
        </w:rPr>
      </w:r>
    </w:p>
    <w:p>
      <w:pPr>
        <w:pStyle w:val="Normal"/>
        <w:pBdr/>
        <w:rPr>
          <w:rFonts w:ascii="Calibri" w:hAnsi="Calibri" w:asciiTheme="minorHAnsi" w:hAnsiTheme="minorHAnsi"/>
        </w:rPr>
        <w:framePr w:w="7817" w:h="1088" w:x="1858" w:y="1" w:wrap="auto" w:vAnchor="text" w:hAnchor="page" w:hRule="exact"/>
      </w:pPr>
      <w:r>
        <w:rPr>
          <w:rFonts w:ascii="Calibri" w:hAnsi="Calibri" w:asciiTheme="minorHAnsi" w:hAnsiTheme="minorHAnsi"/>
        </w:rPr>
        <w:t xml:space="preserve">The number of individuals sequenced in </w:t>
      </w:r>
      <w:r>
        <w:rPr>
          <w:rFonts w:ascii="Calibri" w:hAnsi="Calibri" w:asciiTheme="minorHAnsi" w:hAnsiTheme="minorHAnsi"/>
          <w:sz w:val="24"/>
          <w:szCs w:val="24"/>
        </w:rPr>
        <w:t>both</w:t>
      </w:r>
      <w:r>
        <w:rPr>
          <w:rFonts w:ascii="Calibri" w:hAnsi="Calibri" w:asciiTheme="minorHAnsi" w:hAnsiTheme="minorHAnsi"/>
        </w:rPr>
        <w:t xml:space="preserve"> cohort studies, as well as exclusion criteria are described in ‘Material and Methods – Experimental data sources’.</w:t>
      </w:r>
    </w:p>
    <w:p>
      <w:pPr>
        <w:pStyle w:val="Normal"/>
        <w:rPr>
          <w:rFonts w:ascii="Calibri" w:hAnsi="Calibri" w:asciiTheme="minorHAnsi" w:hAnsiTheme="minorHAnsi"/>
          <w:b/>
          <w:b/>
          <w:bCs/>
        </w:rPr>
      </w:pPr>
      <w:r>
        <w:rPr>
          <w:rFonts w:asciiTheme="minorHAnsi" w:hAnsiTheme="minorHAnsi" w:ascii="Calibri" w:hAnsi="Calibri"/>
          <w:b/>
          <w:bCs/>
        </w:rPr>
      </w:r>
      <w:bookmarkStart w:id="0" w:name="_GoBack"/>
      <w:bookmarkStart w:id="1" w:name="_GoBack"/>
      <w:bookmarkEnd w:id="1"/>
      <w:r>
        <w:br w:type="page"/>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pBdr/>
        <w:rPr>
          <w:rFonts w:ascii="Calibri" w:hAnsi="Calibri" w:asciiTheme="minorHAnsi" w:hAnsiTheme="minorHAnsi"/>
          <w:sz w:val="22"/>
          <w:szCs w:val="22"/>
        </w:rPr>
        <w:framePr w:w="7817" w:h="1088" w:x="1904" w:y="21" w:wrap="auto" w:vAnchor="text" w:hAnchor="page" w:hRule="exact"/>
      </w:pPr>
      <w:r>
        <w:rPr>
          <w:rFonts w:asciiTheme="minorHAnsi" w:hAnsiTheme="minorHAnsi" w:ascii="Calibri" w:hAnsi="Calibri"/>
          <w:sz w:val="22"/>
          <w:szCs w:val="22"/>
        </w:rPr>
        <w:t>Statistical analysis methods are described in ‘Material and Methods – Data analysis’. A detailed justification of how we analyze scaling in the empirical data is provided in ‘Appendix 1 – Subsampling scaling’.</w:t>
      </w:r>
    </w:p>
    <w:p>
      <w:pPr>
        <w:pStyle w:val="Normal"/>
        <w:rPr>
          <w:rFonts w:ascii="Calibri" w:hAnsi="Calibri" w:asciiTheme="minorHAnsi" w:hAnsiTheme="minorHAnsi"/>
          <w:b/>
          <w:b/>
        </w:rPr>
      </w:pPr>
      <w:r>
        <w:rPr>
          <w:rFonts w:ascii="Calibri" w:hAnsi="Calibri"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ascii="Calibri" w:hAnsi="Calibri"/>
          <w:b/>
        </w:rPr>
      </w:r>
    </w:p>
    <w:p>
      <w:pPr>
        <w:pStyle w:val="Normal"/>
        <w:pBdr/>
        <w:rPr>
          <w:rFonts w:ascii="Calibri" w:hAnsi="Calibri" w:asciiTheme="minorHAnsi" w:hAnsiTheme="minorHAnsi"/>
        </w:rPr>
        <w:framePr w:w="7817" w:h="1088" w:x="1904" w:y="1" w:wrap="auto" w:vAnchor="text" w:hAnchor="page" w:hRule="exact"/>
      </w:pPr>
      <w:r>
        <w:rPr>
          <w:rFonts w:asciiTheme="minorHAnsi" w:hAnsiTheme="minorHAnsi" w:ascii="Calibri" w:hAnsi="Calibri"/>
          <w:sz w:val="22"/>
          <w:szCs w:val="22"/>
        </w:rPr>
        <w:t>No new data was generated in this study.</w:t>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Additional data files (“source data”)</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rPr>
      </w:pPr>
      <w:r>
        <w:rPr>
          <w:rFonts w:ascii="Calibri" w:hAnsi="Calibri" w:asciiTheme="minorHAnsi" w:hAnsiTheme="minorHAnsi"/>
          <w:sz w:val="22"/>
          <w:szCs w:val="22"/>
        </w:rPr>
        <w:t>Please indicate the figures or tables for which source data files have been provided:</w:t>
      </w:r>
    </w:p>
    <w:p>
      <w:pPr>
        <w:pStyle w:val="Normal"/>
        <w:rPr>
          <w:rFonts w:ascii="Calibri" w:hAnsi="Calibri" w:asciiTheme="minorHAnsi" w:hAnsiTheme="minorHAnsi"/>
          <w:sz w:val="22"/>
          <w:szCs w:val="22"/>
        </w:rPr>
      </w:pPr>
      <w:r>
        <w:rPr/>
      </w:r>
    </w:p>
    <w:p>
      <w:pPr>
        <w:pStyle w:val="Normal"/>
        <w:pBdr/>
        <w:rPr>
          <w:rFonts w:ascii="Calibri" w:hAnsi="Calibri" w:asciiTheme="minorHAnsi" w:hAnsiTheme="minorHAnsi"/>
          <w:sz w:val="22"/>
          <w:szCs w:val="22"/>
        </w:rPr>
        <w:framePr w:w="7817" w:h="1088" w:x="1904" w:y="1" w:wrap="auto" w:vAnchor="text" w:hAnchor="page" w:hRule="exact"/>
      </w:pPr>
      <w:r>
        <w:rPr>
          <w:rFonts w:ascii="Calibri" w:hAnsi="Calibri" w:asciiTheme="minorHAnsi" w:hAnsiTheme="minorHAnsi"/>
          <w:sz w:val="22"/>
          <w:szCs w:val="22"/>
        </w:rPr>
        <w:t>All source data is accessible online (see Table 1). Source code for the simulations and analysis is available at https://github.com/andim/paper-tcellimprint.</w:t>
      </w:r>
    </w:p>
    <w:sectPr>
      <w:headerReference w:type="default" r:id="rId6"/>
      <w:footerReference w:type="default" r:id="rId7"/>
      <w:type w:val="nextPage"/>
      <w:pgSz w:w="11906" w:h="16838"/>
      <w:pgMar w:left="1843" w:right="1797" w:header="567" w:top="1440" w:footer="567"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swiss"/>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Times New Roman" w:hAnsi="Times New Roman" w:eastAsia="Times New Roman"/>
        <w:sz w:val="16"/>
        <w:szCs w:val="16"/>
        <w:lang w:val="en-GB"/>
      </w:rPr>
    </w:pPr>
    <w:r>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Pr>
        <w:rFonts w:cs="Arial" w:ascii="Arial" w:hAnsi="Arial"/>
        <w:sz w:val="16"/>
        <w:szCs w:val="16"/>
      </w:rPr>
      <w:t xml:space="preserve">address </w:t>
    </w:r>
    <w:r>
      <w:rPr>
        <w:rFonts w:eastAsia="Times New Roman" w:cs="Arial" w:ascii="Arial" w:hAnsi="Arial"/>
        <w:color w:val="212121"/>
        <w:sz w:val="16"/>
        <w:szCs w:val="16"/>
        <w:shd w:fill="FFFFFF" w:val="clear"/>
        <w:lang w:val="en-GB"/>
      </w:rPr>
      <w:t>Westbrook Centre, Milton Road</w:t>
    </w:r>
    <w:r>
      <w:rPr>
        <w:rFonts w:eastAsia="Times New Roman" w:cs="Arial" w:ascii="Arial" w:hAnsi="Arial"/>
        <w:color w:val="212121"/>
        <w:sz w:val="16"/>
        <w:szCs w:val="16"/>
        <w:lang w:val="en-GB"/>
      </w:rPr>
      <w:t xml:space="preserve"> </w:t>
    </w:r>
    <w:r>
      <w:rPr>
        <w:rFonts w:eastAsia="Times New Roman" w:cs="Arial" w:ascii="Arial" w:hAnsi="Arial"/>
        <w:color w:val="212121"/>
        <w:sz w:val="16"/>
        <w:szCs w:val="16"/>
        <w:shd w:fill="FFFFFF" w:val="clear"/>
        <w:lang w:val="en-GB"/>
      </w:rPr>
      <w:t>Cambridge CB4 1YG</w:t>
    </w:r>
    <w:r>
      <w:rPr>
        <w:rFonts w:eastAsia="Times New Roman" w:cs="Arial" w:ascii="Arial" w:hAnsi="Arial"/>
        <w:color w:val="212121"/>
        <w:sz w:val="16"/>
        <w:szCs w:val="16"/>
        <w:lang w:val="en-GB"/>
      </w:rPr>
      <w:t xml:space="preserve">, </w:t>
    </w:r>
    <w:r>
      <w:rPr>
        <w:rFonts w:eastAsia="Times New Roman" w:cs="Arial" w:ascii="Arial" w:hAnsi="Arial"/>
        <w:color w:val="212121"/>
        <w:sz w:val="16"/>
        <w:szCs w:val="16"/>
        <w:shd w:fill="FFFFFF" w:val="clear"/>
        <w:lang w:val="en-GB"/>
      </w:rPr>
      <w:t>UK</w:t>
    </w:r>
    <w:r>
      <w:rPr>
        <w:rFonts w:ascii="Arial" w:hAnsi="Arial"/>
        <w:sz w:val="16"/>
        <w:szCs w:val="16"/>
      </w:rPr>
      <w:t xml:space="preserve"> | March 2019</w:t>
    </w:r>
    <w:r>
      <mc:AlternateContent>
        <mc:Choice Requires="wps">
          <w:drawing>
            <wp:anchor behindDoc="0" distT="0" distB="0" distL="0" distR="0" simplePos="0" locked="0" layoutInCell="1" allowOverlap="1" relativeHeight="10">
              <wp:simplePos x="0" y="0"/>
              <wp:positionH relativeFrom="page">
                <wp:posOffset>6313805</wp:posOffset>
              </wp:positionH>
              <wp:positionV relativeFrom="paragraph">
                <wp:posOffset>123825</wp:posOffset>
              </wp:positionV>
              <wp:extent cx="64770" cy="154940"/>
              <wp:effectExtent l="0" t="0" r="0" b="0"/>
              <wp:wrapSquare wrapText="largest"/>
              <wp:docPr id="2" name="Frame6"/>
              <a:graphic xmlns:a="http://schemas.openxmlformats.org/drawingml/2006/main">
                <a:graphicData uri="http://schemas.microsoft.com/office/word/2010/wordprocessingShape">
                  <wps:wsp>
                    <wps:cNvSpPr txBox="1"/>
                    <wps:spPr>
                      <a:xfrm>
                        <a:off x="0" y="0"/>
                        <a:ext cx="64770" cy="154940"/>
                      </a:xfrm>
                      <a:prstGeom prst="rect"/>
                      <a:solidFill>
                        <a:srgbClr val="FFFFFF">
                          <a:alpha val="0"/>
                        </a:srgbClr>
                      </a:solidFill>
                    </wps:spPr>
                    <wps:txbx>
                      <w:txbxContent>
                        <w:p>
                          <w:pPr>
                            <w:pStyle w:val="Footer"/>
                            <w:pBdr/>
                            <w:rPr/>
                          </w:pPr>
                          <w:r>
                            <w:rPr>
                              <w:rStyle w:val="Pagenumber"/>
                              <w:rFonts w:ascii="Calibri" w:hAnsi="Calibri" w:asciiTheme="minorHAnsi" w:hAnsiTheme="minorHAns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1</w:t>
                          </w:r>
                          <w:r>
                            <w:rPr>
                              <w:rStyle w:val="Pagenumber"/>
                              <w:sz w:val="20"/>
                              <w:szCs w:val="20"/>
                              <w:rFonts w:ascii="Calibri" w:hAnsi="Calibri"/>
                            </w:rPr>
                            <w:fldChar w:fldCharType="end"/>
                          </w:r>
                        </w:p>
                      </w:txbxContent>
                    </wps:txbx>
                    <wps:bodyPr anchor="t" lIns="0" tIns="0" rIns="0" bIns="0">
                      <a:spAutoFit/>
                    </wps:bodyPr>
                  </wps:wsp>
                </a:graphicData>
              </a:graphic>
            </wp:anchor>
          </w:drawing>
        </mc:Choice>
        <mc:Fallback>
          <w:pict>
            <v:rect fillcolor="#FFFFFF" style="position:absolute;rotation:0;width:5.1pt;height:12.2pt;mso-wrap-distance-left:0pt;mso-wrap-distance-right:0pt;mso-wrap-distance-top:0pt;mso-wrap-distance-bottom:0pt;margin-top:9.75pt;mso-position-vertical-relative:text;margin-left:497.15pt;mso-position-horizontal-relative:page">
              <v:fill opacity="0f"/>
              <v:textbox inset="0in,0in,0in,0in">
                <w:txbxContent>
                  <w:p>
                    <w:pPr>
                      <w:pStyle w:val="Footer"/>
                      <w:pBdr/>
                      <w:rPr/>
                    </w:pPr>
                    <w:r>
                      <w:rPr>
                        <w:rStyle w:val="Pagenumber"/>
                        <w:rFonts w:ascii="Calibri" w:hAnsi="Calibri" w:asciiTheme="minorHAnsi" w:hAnsiTheme="minorHAns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1</w:t>
                    </w:r>
                    <w:r>
                      <w:rPr>
                        <w:rStyle w:val="Pagenumber"/>
                        <w:sz w:val="20"/>
                        <w:szCs w:val="20"/>
                        <w:rFonts w:ascii="Calibri" w:hAnsi="Calibri"/>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0" distL="0" distR="0">
          <wp:extent cx="4325620" cy="791210"/>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79121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d0f2c"/>
    <w:pPr>
      <w:widowControl/>
      <w:bidi w:val="0"/>
      <w:spacing w:before="0" w:after="0"/>
      <w:jc w:val="left"/>
    </w:pPr>
    <w:rPr>
      <w:rFonts w:ascii="Cambria" w:hAnsi="Cambria" w:eastAsia="MS Minng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CommentText"/>
    <w:uiPriority w:val="99"/>
    <w:semiHidden/>
    <w:qFormat/>
    <w:rsid w:val="00fe362b"/>
    <w:rPr>
      <w:sz w:val="24"/>
      <w:szCs w:val="24"/>
    </w:rPr>
  </w:style>
  <w:style w:type="character" w:styleId="CommentSubjectChar" w:customStyle="1">
    <w:name w:val="Comment Subject Char"/>
    <w:basedOn w:val="CommentTextChar"/>
    <w:link w:val="CommentSubject"/>
    <w:uiPriority w:val="99"/>
    <w:semiHidden/>
    <w:qFormat/>
    <w:rsid w:val="00fe362b"/>
    <w:rPr>
      <w:b/>
      <w:bCs/>
      <w:sz w:val="20"/>
      <w:szCs w:val="20"/>
    </w:rPr>
  </w:style>
  <w:style w:type="character" w:styleId="InternetLink">
    <w:name w:val="Hyperlink"/>
    <w:basedOn w:val="DefaultParagraphFont"/>
    <w:uiPriority w:val="99"/>
    <w:unhideWhenUsed/>
    <w:rsid w:val="007b6d8a"/>
    <w:rPr>
      <w:color w:val="0000FF" w:themeColor="hyperlink"/>
      <w:u w:val="single"/>
    </w:rPr>
  </w:style>
  <w:style w:type="character" w:styleId="VisitedInternetLink">
    <w:name w:val="FollowedHyperlink"/>
    <w:basedOn w:val="DefaultParagraphFont"/>
    <w:uiPriority w:val="99"/>
    <w:semiHidden/>
    <w:unhideWhenUsed/>
    <w:rsid w:val="004d5e59"/>
    <w:rPr>
      <w:color w:val="800080"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4215fe"/>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link w:val="HeaderChar"/>
    <w:uiPriority w:val="99"/>
    <w:rsid w:val="004215fe"/>
    <w:pPr>
      <w:tabs>
        <w:tab w:val="clear" w:pos="720"/>
        <w:tab w:val="center" w:pos="4320" w:leader="none"/>
        <w:tab w:val="right" w:pos="8640" w:leader="none"/>
      </w:tabs>
    </w:pPr>
    <w:rPr/>
  </w:style>
  <w:style w:type="paragraph" w:styleId="Footer">
    <w:name w:val="Footer"/>
    <w:basedOn w:val="Normal"/>
    <w:link w:val="FooterChar"/>
    <w:uiPriority w:val="99"/>
    <w:rsid w:val="004215fe"/>
    <w:pPr>
      <w:tabs>
        <w:tab w:val="clear" w:pos="720"/>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fe362b"/>
    <w:pPr/>
    <w:rPr/>
  </w:style>
  <w:style w:type="paragraph" w:styleId="Annotationsubject">
    <w:name w:val="annotation subject"/>
    <w:basedOn w:val="Annotationtext"/>
    <w:next w:val="Annotationtext"/>
    <w:link w:val="CommentSubjectCh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Application>LibreOffice/6.4.6.2$Linux_X86_64 LibreOffice_project/40$Build-2</Application>
  <Pages>2</Pages>
  <Words>780</Words>
  <Characters>4368</Characters>
  <CharactersWithSpaces>5091</CharactersWithSpaces>
  <Paragraphs>42</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dc:description/>
  <dc:language>en-US</dc:language>
  <cp:lastModifiedBy/>
  <dcterms:modified xsi:type="dcterms:W3CDTF">2020-11-16T11:49:03Z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