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AB88" w14:textId="6D98563D" w:rsidR="00090C5B" w:rsidRPr="008A262B" w:rsidRDefault="00090C5B" w:rsidP="00090C5B">
      <w:pPr>
        <w:spacing w:after="0" w:line="480" w:lineRule="auto"/>
        <w:jc w:val="center"/>
        <w:rPr>
          <w:rFonts w:ascii="Times New Roman" w:eastAsia="MS Mincho" w:hAnsi="Times New Roman" w:cs="Times New Roman"/>
          <w:b/>
          <w:sz w:val="32"/>
          <w:szCs w:val="32"/>
          <w:u w:val="single"/>
        </w:rPr>
      </w:pPr>
      <w:r w:rsidRPr="008A262B">
        <w:rPr>
          <w:rFonts w:ascii="Times New Roman" w:eastAsia="MS Mincho" w:hAnsi="Times New Roman" w:cs="Times New Roman"/>
          <w:b/>
          <w:sz w:val="32"/>
          <w:szCs w:val="32"/>
          <w:u w:val="single"/>
        </w:rPr>
        <w:t>Supplementary file 1</w:t>
      </w:r>
      <w:r>
        <w:rPr>
          <w:rFonts w:ascii="Times New Roman" w:eastAsia="MS Mincho" w:hAnsi="Times New Roman" w:cs="Times New Roman"/>
          <w:b/>
          <w:sz w:val="32"/>
          <w:szCs w:val="32"/>
          <w:u w:val="single"/>
        </w:rPr>
        <w:t xml:space="preserve">: </w:t>
      </w:r>
      <w:r w:rsidR="00BB640D">
        <w:rPr>
          <w:rFonts w:ascii="Times New Roman" w:eastAsia="MS Mincho" w:hAnsi="Times New Roman" w:cs="Times New Roman"/>
          <w:b/>
          <w:sz w:val="32"/>
          <w:szCs w:val="32"/>
          <w:u w:val="single"/>
        </w:rPr>
        <w:t>Tables for c</w:t>
      </w:r>
      <w:r>
        <w:rPr>
          <w:rFonts w:ascii="Times New Roman" w:eastAsia="MS Mincho" w:hAnsi="Times New Roman" w:cs="Times New Roman"/>
          <w:b/>
          <w:sz w:val="32"/>
          <w:szCs w:val="32"/>
          <w:u w:val="single"/>
        </w:rPr>
        <w:t>onsensus diagnosis</w:t>
      </w:r>
    </w:p>
    <w:p w14:paraId="54DF4C3C" w14:textId="77777777" w:rsidR="00090C5B" w:rsidRDefault="00090C5B" w:rsidP="00090C5B">
      <w:pPr>
        <w:spacing w:after="0" w:line="480" w:lineRule="auto"/>
        <w:jc w:val="both"/>
        <w:rPr>
          <w:rFonts w:ascii="Times New Roman" w:eastAsia="MS Mincho" w:hAnsi="Times New Roman" w:cs="Times New Roman"/>
          <w:b/>
          <w:sz w:val="28"/>
          <w:szCs w:val="28"/>
        </w:rPr>
      </w:pPr>
    </w:p>
    <w:p w14:paraId="157C6CBF" w14:textId="77777777" w:rsidR="00090C5B" w:rsidRDefault="00090C5B" w:rsidP="00090C5B">
      <w:pPr>
        <w:spacing w:after="0" w:line="480" w:lineRule="auto"/>
        <w:jc w:val="both"/>
        <w:rPr>
          <w:rFonts w:ascii="Times New Roman" w:eastAsia="MS Mincho" w:hAnsi="Times New Roman" w:cs="Times New Roman"/>
          <w:b/>
          <w:sz w:val="28"/>
          <w:szCs w:val="28"/>
        </w:rPr>
      </w:pPr>
      <w:r>
        <w:rPr>
          <w:rFonts w:ascii="Times New Roman" w:eastAsia="MS Mincho" w:hAnsi="Times New Roman" w:cs="Times New Roman"/>
          <w:b/>
          <w:sz w:val="28"/>
          <w:szCs w:val="28"/>
        </w:rPr>
        <w:t>Title: Stimulus-induced gamma rhythms are weaker in human elderly with Mild Cognitive Impairment and Alzheimer’s Disease</w:t>
      </w:r>
    </w:p>
    <w:p w14:paraId="616491C8" w14:textId="77777777" w:rsidR="00090C5B" w:rsidRDefault="00090C5B" w:rsidP="00090C5B">
      <w:pPr>
        <w:spacing w:after="0" w:line="480" w:lineRule="auto"/>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p>
    <w:p w14:paraId="6A39A0E9" w14:textId="77777777" w:rsidR="00090C5B" w:rsidRDefault="00090C5B" w:rsidP="00090C5B">
      <w:pPr>
        <w:spacing w:after="0" w:line="480" w:lineRule="auto"/>
        <w:rPr>
          <w:rFonts w:ascii="Times New Roman" w:eastAsia="MS Mincho" w:hAnsi="Times New Roman" w:cs="Times New Roman"/>
          <w:bCs/>
          <w:sz w:val="24"/>
          <w:szCs w:val="24"/>
        </w:rPr>
      </w:pPr>
      <w:r>
        <w:rPr>
          <w:rFonts w:ascii="Times New Roman" w:eastAsia="MS Mincho" w:hAnsi="Times New Roman" w:cs="Times New Roman"/>
          <w:b/>
          <w:sz w:val="24"/>
          <w:szCs w:val="24"/>
        </w:rPr>
        <w:t xml:space="preserve">Running title: </w:t>
      </w:r>
      <w:r>
        <w:rPr>
          <w:rFonts w:ascii="Times New Roman" w:eastAsia="MS Mincho" w:hAnsi="Times New Roman" w:cs="Times New Roman"/>
          <w:bCs/>
          <w:sz w:val="24"/>
          <w:szCs w:val="24"/>
        </w:rPr>
        <w:t>Stimulus-induced</w:t>
      </w:r>
      <w:r>
        <w:rPr>
          <w:rFonts w:ascii="Times New Roman" w:eastAsia="MS Mincho" w:hAnsi="Times New Roman" w:cs="Times New Roman"/>
          <w:b/>
          <w:sz w:val="24"/>
          <w:szCs w:val="24"/>
        </w:rPr>
        <w:t xml:space="preserve"> g</w:t>
      </w:r>
      <w:r>
        <w:rPr>
          <w:rFonts w:ascii="Times New Roman" w:eastAsia="MS Mincho" w:hAnsi="Times New Roman" w:cs="Times New Roman"/>
          <w:bCs/>
          <w:sz w:val="24"/>
          <w:szCs w:val="24"/>
        </w:rPr>
        <w:t>amma rhythms weaken in MCI/AD subjects</w:t>
      </w:r>
    </w:p>
    <w:p w14:paraId="3FDF0321" w14:textId="77777777" w:rsidR="00090C5B" w:rsidRDefault="00090C5B" w:rsidP="00090C5B">
      <w:pPr>
        <w:spacing w:after="0" w:line="480" w:lineRule="auto"/>
        <w:jc w:val="both"/>
        <w:rPr>
          <w:rFonts w:ascii="Times New Roman" w:eastAsia="MS Mincho" w:hAnsi="Times New Roman" w:cs="Times New Roman"/>
          <w:b/>
          <w:sz w:val="28"/>
          <w:szCs w:val="28"/>
        </w:rPr>
      </w:pPr>
    </w:p>
    <w:p w14:paraId="6987E5D2" w14:textId="798EF3AD" w:rsidR="00090C5B" w:rsidRPr="003F5E99" w:rsidRDefault="003F5E99" w:rsidP="00090C5B">
      <w:pPr>
        <w:spacing w:after="0" w:line="480" w:lineRule="auto"/>
        <w:jc w:val="both"/>
        <w:rPr>
          <w:rFonts w:ascii="Times New Roman" w:eastAsia="MS Mincho" w:hAnsi="Times New Roman" w:cs="Times New Roman"/>
          <w:bCs/>
          <w:sz w:val="24"/>
          <w:szCs w:val="24"/>
        </w:rPr>
      </w:pPr>
      <w:r w:rsidRPr="003F5E99">
        <w:rPr>
          <w:rFonts w:ascii="Times New Roman" w:eastAsia="Times New Roman" w:hAnsi="Times New Roman" w:cs="Times New Roman"/>
          <w:b/>
          <w:sz w:val="24"/>
          <w:szCs w:val="24"/>
        </w:rPr>
        <w:t xml:space="preserve">Authors: </w:t>
      </w:r>
      <w:r w:rsidRPr="003F5E99">
        <w:rPr>
          <w:rFonts w:ascii="Times New Roman" w:eastAsia="Times New Roman" w:hAnsi="Times New Roman" w:cs="Times New Roman"/>
          <w:bCs/>
          <w:sz w:val="24"/>
          <w:szCs w:val="24"/>
        </w:rPr>
        <w:t>Dinavahi V. P. S. Murty,</w:t>
      </w:r>
      <w:bookmarkStart w:id="0" w:name="_GoBack"/>
      <w:bookmarkEnd w:id="0"/>
      <w:r w:rsidRPr="003F5E99">
        <w:rPr>
          <w:rFonts w:ascii="Times New Roman" w:eastAsia="Times New Roman" w:hAnsi="Times New Roman" w:cs="Times New Roman"/>
          <w:bCs/>
          <w:sz w:val="24"/>
          <w:szCs w:val="24"/>
        </w:rPr>
        <w:t xml:space="preserve"> Keerthana Manikandan, </w:t>
      </w:r>
      <w:proofErr w:type="spellStart"/>
      <w:r w:rsidRPr="003F5E99">
        <w:rPr>
          <w:rFonts w:ascii="Times New Roman" w:eastAsia="Times New Roman" w:hAnsi="Times New Roman" w:cs="Times New Roman"/>
          <w:bCs/>
          <w:sz w:val="24"/>
          <w:szCs w:val="24"/>
        </w:rPr>
        <w:t>Wupadrasta</w:t>
      </w:r>
      <w:proofErr w:type="spellEnd"/>
      <w:r w:rsidRPr="003F5E99">
        <w:rPr>
          <w:rFonts w:ascii="Times New Roman" w:eastAsia="Times New Roman" w:hAnsi="Times New Roman" w:cs="Times New Roman"/>
          <w:bCs/>
          <w:sz w:val="24"/>
          <w:szCs w:val="24"/>
        </w:rPr>
        <w:t xml:space="preserve"> Santosh Kumar, Ranjini Garani Ramesh, Simran </w:t>
      </w:r>
      <w:proofErr w:type="spellStart"/>
      <w:r w:rsidRPr="003F5E99">
        <w:rPr>
          <w:rFonts w:ascii="Times New Roman" w:eastAsia="Times New Roman" w:hAnsi="Times New Roman" w:cs="Times New Roman"/>
          <w:bCs/>
          <w:sz w:val="24"/>
          <w:szCs w:val="24"/>
        </w:rPr>
        <w:t>Purokayastha</w:t>
      </w:r>
      <w:proofErr w:type="spellEnd"/>
      <w:r w:rsidRPr="003F5E99">
        <w:rPr>
          <w:rFonts w:ascii="Times New Roman" w:eastAsia="Times New Roman" w:hAnsi="Times New Roman" w:cs="Times New Roman"/>
          <w:bCs/>
          <w:sz w:val="24"/>
          <w:szCs w:val="24"/>
        </w:rPr>
        <w:t xml:space="preserve">, Bhargavi Nagendra, Abhishek M. L., Aditi Balakrishnan, Mahendra </w:t>
      </w:r>
      <w:proofErr w:type="spellStart"/>
      <w:r w:rsidRPr="003F5E99">
        <w:rPr>
          <w:rFonts w:ascii="Times New Roman" w:eastAsia="Times New Roman" w:hAnsi="Times New Roman" w:cs="Times New Roman"/>
          <w:bCs/>
          <w:sz w:val="24"/>
          <w:szCs w:val="24"/>
        </w:rPr>
        <w:t>Javali</w:t>
      </w:r>
      <w:proofErr w:type="spellEnd"/>
      <w:r w:rsidRPr="003F5E99">
        <w:rPr>
          <w:rFonts w:ascii="Times New Roman" w:eastAsia="Times New Roman" w:hAnsi="Times New Roman" w:cs="Times New Roman"/>
          <w:bCs/>
          <w:sz w:val="24"/>
          <w:szCs w:val="24"/>
        </w:rPr>
        <w:t>, Naren Prahalada Rao and Supratim Ray.</w:t>
      </w:r>
    </w:p>
    <w:p w14:paraId="1D88AB84" w14:textId="77777777" w:rsidR="00090C5B" w:rsidRDefault="00090C5B" w:rsidP="00090C5B">
      <w:pP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br w:type="page"/>
      </w:r>
    </w:p>
    <w:p w14:paraId="77CEA39C" w14:textId="69B8D956" w:rsidR="00090C5B" w:rsidRDefault="00090C5B" w:rsidP="00090C5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Table 1: Criteria </w:t>
      </w:r>
      <w:r w:rsidR="00C8257E">
        <w:rPr>
          <w:rFonts w:ascii="Times New Roman" w:hAnsi="Times New Roman" w:cs="Times New Roman"/>
          <w:b/>
          <w:sz w:val="24"/>
          <w:szCs w:val="24"/>
        </w:rPr>
        <w:t xml:space="preserve">used for consensus diagnosis of </w:t>
      </w:r>
      <w:r>
        <w:rPr>
          <w:rFonts w:ascii="Times New Roman" w:hAnsi="Times New Roman" w:cs="Times New Roman"/>
          <w:b/>
          <w:sz w:val="24"/>
          <w:szCs w:val="24"/>
        </w:rPr>
        <w:t>dementia</w:t>
      </w: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663"/>
        <w:gridCol w:w="4394"/>
      </w:tblGrid>
      <w:tr w:rsidR="00090C5B" w14:paraId="43FABAF1" w14:textId="77777777" w:rsidTr="00073A42">
        <w:trPr>
          <w:trHeight w:val="301"/>
        </w:trPr>
        <w:tc>
          <w:tcPr>
            <w:tcW w:w="4663" w:type="dxa"/>
            <w:tcBorders>
              <w:top w:val="single" w:sz="12" w:space="0" w:color="auto"/>
              <w:left w:val="single" w:sz="12" w:space="0" w:color="auto"/>
              <w:bottom w:val="single" w:sz="12" w:space="0" w:color="auto"/>
              <w:right w:val="single" w:sz="12" w:space="0" w:color="auto"/>
            </w:tcBorders>
            <w:shd w:val="clear" w:color="auto" w:fill="9FC5E8"/>
            <w:tcMar>
              <w:top w:w="30" w:type="dxa"/>
              <w:left w:w="45" w:type="dxa"/>
              <w:bottom w:w="30" w:type="dxa"/>
              <w:right w:w="45" w:type="dxa"/>
            </w:tcMar>
            <w:vAlign w:val="center"/>
            <w:hideMark/>
          </w:tcPr>
          <w:p w14:paraId="4D6783DE" w14:textId="77777777" w:rsidR="00090C5B" w:rsidRDefault="00090C5B" w:rsidP="00073A42">
            <w:pPr>
              <w:spacing w:line="276"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NIA-AA criteria for dementia</w:t>
            </w:r>
            <w:r>
              <w:rPr>
                <w:rFonts w:ascii="Times New Roman" w:hAnsi="Times New Roman" w:cs="Times New Roman"/>
                <w:b/>
                <w:bCs/>
                <w:sz w:val="24"/>
                <w:szCs w:val="24"/>
                <w:vertAlign w:val="superscript"/>
              </w:rPr>
              <w:t>1</w:t>
            </w:r>
          </w:p>
        </w:tc>
        <w:tc>
          <w:tcPr>
            <w:tcW w:w="4394" w:type="dxa"/>
            <w:tcBorders>
              <w:top w:val="single" w:sz="12" w:space="0" w:color="auto"/>
              <w:left w:val="single" w:sz="12" w:space="0" w:color="auto"/>
              <w:bottom w:val="single" w:sz="12" w:space="0" w:color="auto"/>
              <w:right w:val="single" w:sz="12" w:space="0" w:color="auto"/>
            </w:tcBorders>
            <w:shd w:val="clear" w:color="auto" w:fill="9FC5E8"/>
            <w:tcMar>
              <w:top w:w="30" w:type="dxa"/>
              <w:left w:w="45" w:type="dxa"/>
              <w:bottom w:w="30" w:type="dxa"/>
              <w:right w:w="45" w:type="dxa"/>
            </w:tcMar>
            <w:vAlign w:val="center"/>
            <w:hideMark/>
          </w:tcPr>
          <w:p w14:paraId="173AC094" w14:textId="77777777" w:rsidR="00090C5B" w:rsidRDefault="00090C5B" w:rsidP="00073A4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TLSA Criteria for dementia</w:t>
            </w:r>
          </w:p>
        </w:tc>
      </w:tr>
      <w:tr w:rsidR="00090C5B" w14:paraId="3164475C" w14:textId="77777777" w:rsidTr="00073A42">
        <w:trPr>
          <w:trHeight w:val="301"/>
        </w:trPr>
        <w:tc>
          <w:tcPr>
            <w:tcW w:w="4663"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04E28CD7"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Interfere with the ability to function at work or at usual activities</w:t>
            </w:r>
          </w:p>
        </w:tc>
        <w:tc>
          <w:tcPr>
            <w:tcW w:w="4394"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0241CD0E"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CDR box scores in the subdomains of outdoor activities, hobbies and personal care: average &gt; 0.5.</w:t>
            </w:r>
          </w:p>
        </w:tc>
      </w:tr>
      <w:tr w:rsidR="00090C5B" w14:paraId="0BC51494" w14:textId="77777777" w:rsidTr="00073A42">
        <w:trPr>
          <w:trHeight w:val="301"/>
        </w:trPr>
        <w:tc>
          <w:tcPr>
            <w:tcW w:w="4663"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6F1273E1"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Represent a decline from previous levels of functioning and performing</w:t>
            </w:r>
          </w:p>
        </w:tc>
        <w:tc>
          <w:tcPr>
            <w:tcW w:w="4394"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31F47F51"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GPCOG informant subdomain &gt; 4</w:t>
            </w:r>
          </w:p>
        </w:tc>
      </w:tr>
      <w:tr w:rsidR="00090C5B" w14:paraId="57C71D4C" w14:textId="77777777" w:rsidTr="00073A42">
        <w:trPr>
          <w:trHeight w:val="301"/>
        </w:trPr>
        <w:tc>
          <w:tcPr>
            <w:tcW w:w="4663" w:type="dxa"/>
            <w:vMerge w:val="restart"/>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22B3368D"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Are not explained by delirium or major psychiatric disorder</w:t>
            </w:r>
          </w:p>
        </w:tc>
        <w:tc>
          <w:tcPr>
            <w:tcW w:w="4394"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50408F52" w14:textId="77777777" w:rsidR="00090C5B" w:rsidRDefault="00090C5B" w:rsidP="00073A42">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Clinician’s judgement (no mention of acute change in cognition status during clinical history taking) and/or HMSE &gt; 24</w:t>
            </w:r>
            <w:r>
              <w:rPr>
                <w:rFonts w:ascii="Times New Roman" w:hAnsi="Times New Roman" w:cs="Times New Roman"/>
                <w:sz w:val="24"/>
                <w:szCs w:val="24"/>
                <w:vertAlign w:val="superscript"/>
              </w:rPr>
              <w:t>2</w:t>
            </w:r>
          </w:p>
        </w:tc>
      </w:tr>
      <w:tr w:rsidR="00090C5B" w14:paraId="6EF956CA" w14:textId="77777777" w:rsidTr="00073A42">
        <w:trPr>
          <w:trHeight w:val="3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CBBC4A7" w14:textId="77777777" w:rsidR="00090C5B" w:rsidRDefault="00090C5B" w:rsidP="00073A42">
            <w:pPr>
              <w:spacing w:after="0"/>
              <w:rPr>
                <w:rFonts w:ascii="Times New Roman" w:hAnsi="Times New Roman" w:cs="Times New Roman"/>
                <w:sz w:val="24"/>
                <w:szCs w:val="24"/>
              </w:rPr>
            </w:pPr>
          </w:p>
        </w:tc>
        <w:tc>
          <w:tcPr>
            <w:tcW w:w="4394"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1A73FE8E" w14:textId="77777777" w:rsidR="00090C5B" w:rsidRDefault="00090C5B" w:rsidP="00073A42">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HAMD (&lt;14)</w:t>
            </w:r>
            <w:r>
              <w:rPr>
                <w:rFonts w:ascii="Times New Roman" w:hAnsi="Times New Roman" w:cs="Times New Roman"/>
                <w:sz w:val="24"/>
                <w:szCs w:val="24"/>
                <w:vertAlign w:val="superscript"/>
              </w:rPr>
              <w:t>3</w:t>
            </w:r>
          </w:p>
        </w:tc>
      </w:tr>
      <w:tr w:rsidR="00090C5B" w14:paraId="60E32593" w14:textId="77777777" w:rsidTr="00073A42">
        <w:trPr>
          <w:trHeight w:val="301"/>
        </w:trPr>
        <w:tc>
          <w:tcPr>
            <w:tcW w:w="4663" w:type="dxa"/>
            <w:vMerge w:val="restart"/>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6E836EFA"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Cognitive impairment is detected and diagnosed through a combination of </w:t>
            </w:r>
          </w:p>
          <w:p w14:paraId="434566BB" w14:textId="77777777" w:rsidR="00090C5B" w:rsidRDefault="00090C5B" w:rsidP="00073A42">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History-taking from the patient and a knowledgeable informant</w:t>
            </w:r>
          </w:p>
          <w:p w14:paraId="5882DBCA" w14:textId="77777777" w:rsidR="00090C5B" w:rsidRDefault="00090C5B" w:rsidP="00073A42">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An objective cognitive assessment, either a “bedside” mental status examination or neuropsychological testing </w:t>
            </w:r>
          </w:p>
        </w:tc>
        <w:tc>
          <w:tcPr>
            <w:tcW w:w="4394"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2F36B5A4" w14:textId="77777777" w:rsidR="00090C5B" w:rsidRDefault="00090C5B" w:rsidP="00073A42">
            <w:pPr>
              <w:spacing w:line="276" w:lineRule="auto"/>
              <w:rPr>
                <w:rFonts w:ascii="Times New Roman" w:hAnsi="Times New Roman" w:cs="Times New Roman"/>
                <w:b/>
                <w:sz w:val="24"/>
                <w:szCs w:val="24"/>
              </w:rPr>
            </w:pPr>
            <w:r>
              <w:rPr>
                <w:rFonts w:ascii="Times New Roman" w:hAnsi="Times New Roman" w:cs="Times New Roman"/>
                <w:b/>
                <w:sz w:val="24"/>
                <w:szCs w:val="24"/>
              </w:rPr>
              <w:t>Any 2 of the following:</w:t>
            </w:r>
          </w:p>
        </w:tc>
      </w:tr>
      <w:tr w:rsidR="00090C5B" w14:paraId="77E4C3C3" w14:textId="77777777" w:rsidTr="00073A42">
        <w:trPr>
          <w:trHeight w:val="3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5255FCF" w14:textId="77777777" w:rsidR="00090C5B" w:rsidRDefault="00090C5B" w:rsidP="00073A42">
            <w:pPr>
              <w:spacing w:after="0"/>
              <w:rPr>
                <w:rFonts w:ascii="Times New Roman" w:hAnsi="Times New Roman" w:cs="Times New Roman"/>
                <w:sz w:val="24"/>
                <w:szCs w:val="24"/>
              </w:rPr>
            </w:pPr>
          </w:p>
        </w:tc>
        <w:tc>
          <w:tcPr>
            <w:tcW w:w="4394"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05D92ECB"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GPCOG informant subdomain &gt; 4 </w:t>
            </w:r>
          </w:p>
        </w:tc>
      </w:tr>
      <w:tr w:rsidR="00090C5B" w14:paraId="5DC2CE57" w14:textId="77777777" w:rsidTr="00073A42">
        <w:trPr>
          <w:trHeight w:val="3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E36FB84" w14:textId="77777777" w:rsidR="00090C5B" w:rsidRDefault="00090C5B" w:rsidP="00073A42">
            <w:pPr>
              <w:spacing w:after="0"/>
              <w:rPr>
                <w:rFonts w:ascii="Times New Roman" w:hAnsi="Times New Roman" w:cs="Times New Roman"/>
                <w:sz w:val="24"/>
                <w:szCs w:val="24"/>
              </w:rPr>
            </w:pPr>
          </w:p>
        </w:tc>
        <w:tc>
          <w:tcPr>
            <w:tcW w:w="4394"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3E5BAB2E"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ACE &lt; 88</w:t>
            </w:r>
          </w:p>
        </w:tc>
      </w:tr>
      <w:tr w:rsidR="00090C5B" w14:paraId="01C51E32" w14:textId="77777777" w:rsidTr="00073A42">
        <w:trPr>
          <w:trHeight w:val="3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572B627" w14:textId="77777777" w:rsidR="00090C5B" w:rsidRDefault="00090C5B" w:rsidP="00073A42">
            <w:pPr>
              <w:spacing w:after="0"/>
              <w:rPr>
                <w:rFonts w:ascii="Times New Roman" w:hAnsi="Times New Roman" w:cs="Times New Roman"/>
                <w:sz w:val="24"/>
                <w:szCs w:val="24"/>
              </w:rPr>
            </w:pPr>
          </w:p>
        </w:tc>
        <w:tc>
          <w:tcPr>
            <w:tcW w:w="4394"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6CC2A1C6"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HMSE &lt; 27 </w:t>
            </w:r>
          </w:p>
        </w:tc>
      </w:tr>
      <w:tr w:rsidR="00090C5B" w14:paraId="72F05C8C" w14:textId="77777777" w:rsidTr="00073A42">
        <w:trPr>
          <w:trHeight w:val="3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22421FC" w14:textId="77777777" w:rsidR="00090C5B" w:rsidRDefault="00090C5B" w:rsidP="00073A42">
            <w:pPr>
              <w:spacing w:after="0"/>
              <w:rPr>
                <w:rFonts w:ascii="Times New Roman" w:hAnsi="Times New Roman" w:cs="Times New Roman"/>
                <w:sz w:val="24"/>
                <w:szCs w:val="24"/>
              </w:rPr>
            </w:pPr>
          </w:p>
        </w:tc>
        <w:tc>
          <w:tcPr>
            <w:tcW w:w="4394"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3F386E68"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GPCOG patient subdomain &gt;5 </w:t>
            </w:r>
          </w:p>
        </w:tc>
      </w:tr>
      <w:tr w:rsidR="00090C5B" w14:paraId="0E5F6E2D" w14:textId="77777777" w:rsidTr="00073A42">
        <w:trPr>
          <w:trHeight w:val="3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A1B5814" w14:textId="77777777" w:rsidR="00090C5B" w:rsidRDefault="00090C5B" w:rsidP="00073A42">
            <w:pPr>
              <w:spacing w:after="0"/>
              <w:rPr>
                <w:rFonts w:ascii="Times New Roman" w:hAnsi="Times New Roman" w:cs="Times New Roman"/>
                <w:sz w:val="24"/>
                <w:szCs w:val="24"/>
              </w:rPr>
            </w:pPr>
          </w:p>
        </w:tc>
        <w:tc>
          <w:tcPr>
            <w:tcW w:w="4394"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560EBC6C"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Clinician assessment based on sub scores on ACE, HMSE or GPCOG patient</w:t>
            </w:r>
          </w:p>
        </w:tc>
      </w:tr>
    </w:tbl>
    <w:p w14:paraId="7E12803F" w14:textId="77777777" w:rsidR="00090C5B" w:rsidRDefault="00090C5B" w:rsidP="00090C5B">
      <w:pPr>
        <w:jc w:val="right"/>
      </w:pPr>
      <w:r>
        <w:t>(Continued…)</w:t>
      </w:r>
    </w:p>
    <w:p w14:paraId="26CEF12A" w14:textId="77777777" w:rsidR="00090C5B" w:rsidRDefault="00090C5B" w:rsidP="00090C5B">
      <w:r>
        <w:br w:type="page"/>
      </w:r>
    </w:p>
    <w:tbl>
      <w:tblPr>
        <w:tblW w:w="95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749"/>
        <w:gridCol w:w="4800"/>
      </w:tblGrid>
      <w:tr w:rsidR="00090C5B" w14:paraId="230AA165" w14:textId="77777777" w:rsidTr="00073A42">
        <w:trPr>
          <w:trHeight w:val="301"/>
        </w:trPr>
        <w:tc>
          <w:tcPr>
            <w:tcW w:w="0" w:type="auto"/>
            <w:vMerge w:val="restart"/>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6C06B0E5"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cognitive or behavioral impairment involves a minimum of two of the following domains</w:t>
            </w:r>
          </w:p>
          <w:p w14:paraId="57BD3CD2" w14:textId="77777777" w:rsidR="00090C5B" w:rsidRDefault="00090C5B" w:rsidP="00073A42">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Impaired ability to acquire and remember new information</w:t>
            </w:r>
          </w:p>
          <w:p w14:paraId="11D33968" w14:textId="77777777" w:rsidR="00090C5B" w:rsidRDefault="00090C5B" w:rsidP="00073A42">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Impaired reasoning and handling of complex tasks, poor judgment</w:t>
            </w:r>
          </w:p>
          <w:p w14:paraId="6F4DFA95" w14:textId="77777777" w:rsidR="00090C5B" w:rsidRDefault="00090C5B" w:rsidP="00073A42">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Impaired visuospatial abilities</w:t>
            </w:r>
          </w:p>
          <w:p w14:paraId="1D9321FD" w14:textId="77777777" w:rsidR="00090C5B" w:rsidRDefault="00090C5B" w:rsidP="00073A42">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Impaired language functions</w:t>
            </w:r>
          </w:p>
          <w:p w14:paraId="308BA421" w14:textId="77777777" w:rsidR="00090C5B" w:rsidRDefault="00090C5B" w:rsidP="00073A42">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Changes in personality, behavior, or comportment</w:t>
            </w:r>
          </w:p>
        </w:tc>
        <w:tc>
          <w:tcPr>
            <w:tcW w:w="0" w:type="auto"/>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782448D2" w14:textId="77777777" w:rsidR="00090C5B" w:rsidRDefault="00090C5B" w:rsidP="00073A42">
            <w:pPr>
              <w:spacing w:line="276" w:lineRule="auto"/>
              <w:rPr>
                <w:rFonts w:ascii="Times New Roman" w:hAnsi="Times New Roman" w:cs="Times New Roman"/>
                <w:b/>
                <w:sz w:val="24"/>
                <w:szCs w:val="24"/>
              </w:rPr>
            </w:pPr>
            <w:r>
              <w:rPr>
                <w:rFonts w:ascii="Times New Roman" w:hAnsi="Times New Roman" w:cs="Times New Roman"/>
                <w:b/>
                <w:sz w:val="24"/>
                <w:szCs w:val="24"/>
              </w:rPr>
              <w:t>Any 2 of the following:</w:t>
            </w:r>
          </w:p>
        </w:tc>
      </w:tr>
      <w:tr w:rsidR="00090C5B" w14:paraId="1878FA63" w14:textId="77777777" w:rsidTr="00073A42">
        <w:trPr>
          <w:trHeight w:val="3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9DE51F7" w14:textId="77777777" w:rsidR="00090C5B" w:rsidRDefault="00090C5B" w:rsidP="00073A42">
            <w:pPr>
              <w:spacing w:after="0"/>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10FB6C5E"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IADL shopping ( &gt;/= 1) </w:t>
            </w:r>
          </w:p>
        </w:tc>
      </w:tr>
      <w:tr w:rsidR="00090C5B" w14:paraId="11185963" w14:textId="77777777" w:rsidTr="00073A42">
        <w:trPr>
          <w:trHeight w:val="3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42A7031" w14:textId="77777777" w:rsidR="00090C5B" w:rsidRDefault="00090C5B" w:rsidP="00073A42">
            <w:pPr>
              <w:spacing w:after="0"/>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1B1F0BE7"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IADL finance ( &gt;/= 1) </w:t>
            </w:r>
          </w:p>
        </w:tc>
      </w:tr>
      <w:tr w:rsidR="00090C5B" w14:paraId="357A4DFB" w14:textId="77777777" w:rsidTr="00073A42">
        <w:trPr>
          <w:trHeight w:val="3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E29F4D7" w14:textId="77777777" w:rsidR="00090C5B" w:rsidRDefault="00090C5B" w:rsidP="00073A42">
            <w:pPr>
              <w:spacing w:after="0"/>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5AA2E00E"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IADL travel ( &gt;/= 1) </w:t>
            </w:r>
          </w:p>
        </w:tc>
      </w:tr>
      <w:tr w:rsidR="00090C5B" w14:paraId="0E0454DA" w14:textId="77777777" w:rsidTr="00073A42">
        <w:trPr>
          <w:trHeight w:val="358"/>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00E684E" w14:textId="77777777" w:rsidR="00090C5B" w:rsidRDefault="00090C5B" w:rsidP="00073A42">
            <w:pPr>
              <w:spacing w:after="0"/>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30" w:type="dxa"/>
              <w:left w:w="45" w:type="dxa"/>
              <w:bottom w:w="30" w:type="dxa"/>
              <w:right w:w="45" w:type="dxa"/>
            </w:tcMar>
            <w:vAlign w:val="center"/>
            <w:hideMark/>
          </w:tcPr>
          <w:p w14:paraId="33C4552C"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IADL social ( &gt;/= 1) </w:t>
            </w:r>
          </w:p>
        </w:tc>
      </w:tr>
      <w:tr w:rsidR="00090C5B" w14:paraId="7DED2731" w14:textId="77777777" w:rsidTr="00073A42">
        <w:trPr>
          <w:trHeight w:val="47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737D6D5" w14:textId="77777777" w:rsidR="00090C5B" w:rsidRDefault="00090C5B" w:rsidP="00073A42">
            <w:pPr>
              <w:spacing w:after="0"/>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30" w:type="dxa"/>
              <w:left w:w="45" w:type="dxa"/>
              <w:bottom w:w="30" w:type="dxa"/>
              <w:right w:w="45" w:type="dxa"/>
            </w:tcMar>
            <w:vAlign w:val="center"/>
            <w:hideMark/>
          </w:tcPr>
          <w:p w14:paraId="14398698"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IADL prayer activity ( &gt;/= 1)</w:t>
            </w:r>
          </w:p>
        </w:tc>
      </w:tr>
      <w:tr w:rsidR="00090C5B" w14:paraId="345F92C4" w14:textId="77777777" w:rsidTr="00073A42">
        <w:trPr>
          <w:trHeight w:val="177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E0588ED" w14:textId="77777777" w:rsidR="00090C5B" w:rsidRDefault="00090C5B" w:rsidP="00073A42">
            <w:pPr>
              <w:spacing w:after="0"/>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0562A4F9"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NPI (Any one of the following behavioral problem should be present: apathy, disinhibition, elation, anger)</w:t>
            </w:r>
          </w:p>
        </w:tc>
      </w:tr>
    </w:tbl>
    <w:p w14:paraId="518E266B" w14:textId="77777777" w:rsidR="00090C5B" w:rsidRDefault="00090C5B" w:rsidP="00090C5B">
      <w:pPr>
        <w:spacing w:after="0" w:line="276" w:lineRule="auto"/>
        <w:jc w:val="both"/>
      </w:pPr>
    </w:p>
    <w:p w14:paraId="5564C012" w14:textId="77777777" w:rsidR="00090C5B" w:rsidRDefault="00090C5B" w:rsidP="00090C5B">
      <w:pPr>
        <w:spacing w:after="0" w:line="276" w:lineRule="auto"/>
        <w:jc w:val="both"/>
      </w:pPr>
      <w:r>
        <w:t xml:space="preserve">ACE: Addenbrooke's Cognitive Examination </w:t>
      </w:r>
      <w:r>
        <w:fldChar w:fldCharType="begin"/>
      </w:r>
      <w:r>
        <w:instrText xml:space="preserve"> ADDIN ZOTERO_ITEM CSL_CITATION {"citationID":"gHfcWvAe","properties":{"formattedCitation":"(So et al., 2018)","plainCitation":"(So et al., 2018)","noteIndex":0},"citationItems":[{"id":3537,"uris":["http://zotero.org/groups/2433117/items/73SH6SI8"],"uri":["http://zotero.org/groups/2433117/items/73SH6SI8"],"itemData":{"id":3537,"type":"article-journal","abstract":"Objectives: The Addenbrooke’s Cognitive Examination (ACE) is a common cognitive screening test for dementia. Here, we examined the relationship between the most recent version (ACE-III) and its predecessor (ACE-R), determined ACE-III cutoff scores for the detection of dementia, and explored its relationship with functional ability. Methods: Study 1 included 199 dementia patients and 52 healthy controls who completed the ACE-III and ACE-R. ACE-III total and domain scores were regressed on their corresponding ACE-R values to obtain conversion formulae. Study 2 included 331 mixed dementia patients and 87 controls to establish the optimal ACE-III cutoff scores for the detection of dementia using receiver operator curve analysis. Study 3 included 194 dementia patients and their carers to investigate the relationship between ACE-III total score and functional ability. Results: Study 1: ACE-III and ACE-R scores differed by ≤1 point overall, the magnitude varying according to dementia type. Study 2: a new lower bound cutoff ACE-III score of 84/100 to detect dementia was identified (compared with 82 for the ACE-R). The upper bound cutoff score of 88/100 was retained. Study 3: ACE-III scores were significantly related to functional ability on the Clinical Dementia Rating Scale across all dementia syndromes, except for semantic dementia. Conclusions: This study represents one of the largest and most clinically diverse investigations of the ACE-III. Our results demonstrate that the ACE-III is an acceptable alternative to the ACE-R. In addition, ACE-III performance has broader clinical implications in that it relates to carer reports of functional impairment in most common dementias. (JINS, 2018, 24, 854–863)","container-title":"Journal of the International Neuropsychological Society","DOI":"10.1017/S1355617718000541","ISSN":"1355-6177, 1469-7661","issue":"8","language":"en","note":"publisher: Cambridge University Press","page":"854-863","source":"Cambridge University Press","title":"Addenbrooke’s Cognitive Examination III: Psychometric Characteristics and Relations to Functional Ability in Dementia","title-short":"Addenbrooke’s Cognitive Examination III","volume":"24","author":[{"family":"So","given":"Matthew"},{"family":"Foxe","given":"David"},{"family":"Kumfor","given":"Fiona"},{"family":"Murray","given":"Cynthia"},{"family":"Hsieh","given":"Sharpley"},{"family":"Savage","given":"Greg"},{"family":"Ahmed","given":"Rebekah M."},{"family":"Burrell","given":"James R."},{"family":"Hodges","given":"John R."},{"family":"Irish","given":"Muireann"},{"family":"Piguet","given":"Olivier"}],"issued":{"date-parts":[["2018",9]]}}}],"schema":"https://github.com/citation-style-language/schema/raw/master/csl-citation.json"} </w:instrText>
      </w:r>
      <w:r>
        <w:fldChar w:fldCharType="separate"/>
      </w:r>
      <w:r w:rsidRPr="00830763">
        <w:rPr>
          <w:rFonts w:ascii="Calibri" w:hAnsi="Calibri"/>
        </w:rPr>
        <w:t>(So et al., 2018)</w:t>
      </w:r>
      <w:r>
        <w:fldChar w:fldCharType="end"/>
      </w:r>
    </w:p>
    <w:p w14:paraId="15294D48" w14:textId="77777777" w:rsidR="00090C5B" w:rsidRDefault="00090C5B" w:rsidP="00090C5B">
      <w:pPr>
        <w:spacing w:after="0" w:line="276" w:lineRule="auto"/>
        <w:jc w:val="both"/>
      </w:pPr>
      <w:r>
        <w:t xml:space="preserve">CDR: Clinical Dementia Rating </w:t>
      </w:r>
      <w:r>
        <w:fldChar w:fldCharType="begin"/>
      </w:r>
      <w:r>
        <w:instrText xml:space="preserve"> ADDIN ZOTERO_ITEM CSL_CITATION {"citationID":"AOyRFxhc","properties":{"formattedCitation":"(Hughes et al., 1982; Morris, 1993)","plainCitation":"(Hughes et al., 1982; Morris, 1993)","noteIndex":0},"citationItems":[{"id":3534,"uris":["http://zotero.org/groups/2433117/items/MZ7BNA9P"],"uri":["http://zotero.org/groups/2433117/items/MZ7BNA9P"],"itemData":{"id":3534,"type":"article-journal","abstract":"Accurate clinical staging of dementia in older subjects has not previously been achieved despite the use of such methods as psychometric testing, behavioural rating, and various combinations of simpler psychometric and behavioural evaluations. The Clinical Dementia Rating (CRD), a global rating device, was developed for a prospective study of mild senile dementia—Alzheimer type (SDAT). Reliability, validity, and correlational data are discussed. The CDR was found to distinguish unambiguously among older subjects with a wide range of cognitive function, from healthy to severely impaired.","container-title":"The British Journal of Psychiatry","DOI":"10.1192/bjp.140.6.566","ISSN":"0007-1250, 1472-1465","issue":"6","language":"en","note":"publisher: Cambridge University Press","page":"566-572","source":"Cambridge University Press","title":"A New Clinical Scale for the Staging of Dementia","volume":"140","author":[{"family":"Hughes","given":"Charles P."},{"family":"Berg","given":"Leonard"},{"family":"Danziger","given":"Warren"},{"family":"Coben","given":"Lawrence A."},{"family":"Martin","given":"Ronald L."}],"issued":{"date-parts":[["1982",6]]}}},{"id":3473,"uris":["http://zotero.org/groups/2433117/items/DQ8HMIGY"],"uri":["http://zotero.org/groups/2433117/items/DQ8HMIGY"],"itemData":{"id":3473,"type":"article-journal","container-title":"Neurology","DOI":"10.1212/WNL.43.11.2412-a","ISSN":"0028-3878, 1526-632X","issue":"11","language":"en","page":"2412-2412","source":"Crossref","title":"The Clinical Dementia Rating (CDR): Current version and scoring rules","title-short":"The Clinical Dementia Rating (CDR)","volume":"43","author":[{"family":"Morris","given":"J. C."}],"issued":{"date-parts":[["1993",11,1]]}}}],"schema":"https://github.com/citation-style-language/schema/raw/master/csl-citation.json"} </w:instrText>
      </w:r>
      <w:r>
        <w:fldChar w:fldCharType="separate"/>
      </w:r>
      <w:r w:rsidRPr="00830763">
        <w:rPr>
          <w:rFonts w:ascii="Calibri" w:hAnsi="Calibri"/>
        </w:rPr>
        <w:t>(Hughes et al., 1982; Morris, 1993)</w:t>
      </w:r>
      <w:r>
        <w:fldChar w:fldCharType="end"/>
      </w:r>
    </w:p>
    <w:p w14:paraId="6C86755B" w14:textId="77777777" w:rsidR="00090C5B" w:rsidRDefault="00090C5B" w:rsidP="00090C5B">
      <w:pPr>
        <w:spacing w:after="0" w:line="276" w:lineRule="auto"/>
        <w:jc w:val="both"/>
      </w:pPr>
      <w:r>
        <w:t xml:space="preserve">GPCOG: General Practitioner Assessment of Cognition </w:t>
      </w:r>
      <w:r>
        <w:fldChar w:fldCharType="begin"/>
      </w:r>
      <w:r>
        <w:instrText xml:space="preserve"> ADDIN ZOTERO_ITEM CSL_CITATION {"citationID":"wwrlutwN","properties":{"formattedCitation":"(Brodaty et al., 2002)","plainCitation":"(Brodaty et al., 2002)","noteIndex":0},"citationItems":[{"id":3530,"uris":["http://zotero.org/groups/2433117/items/PBJ8PXY6"],"uri":["http://zotero.org/groups/2433117/items/PBJ8PXY6"],"itemData":{"id":3530,"type":"article-journal","abstract":"OBJECTIVES: To design and test a brief, efficient dementia-screening instrument for use by general practitioners (GPs). DESIGN: The General Practitioner Assessment of Cognition (GPCOG) consists of cognitive test items and historical questions asked of an informant. The validity of the measure was assessed by comparison with the criterion standard of diagnoses of dementia derived from the Diagnostic and Statistical Manual of Mental Disorders (Fourth Edition). SETTING: Primary care doctors' offices. PARTICIPANTS: Sixty-seven GPs administered the GPCOG to 283 community-dwelling patients aged 50 to 74 with memory complaints or aged 75 and older. MEASUREMENTS: The Cambridge Mental Disorder of the Elderly Examination, the Abbreviated Mental Test (AMT), the Mini-Mental State Examination (MMSE), the 15-item Geriatric Depression Scale, and the 12-item Short-Form Health Survey. RESULTS: The GPCOG was reliable and superior to the AMT (and possibly to the MMSE) in detecting dementia. The two-stage method of administering the GPCOG (cognitive testing followed by informant questions if necessary) had a sensitivity of 0.85, a specificity of 0.86, a misclassification rate of 14%, and positive predictive value of 71.4%. Patient interviews took less than 4 minutes to administer and informant interviews less than 2 minutes. The instrument was reported by GPs to be practical to administer and was acceptable to patients. CONCLUSION: The GPCOG is a valid, efficient, well-accepted instrument for dementia screening in primary care. J Am Geriatr Soc 50:530–534, 2002.","container-title":"Journal of the American Geriatrics Society","DOI":"10.1046/j.1532-5415.2002.50122.x","ISSN":"1532-5415","issue":"3","language":"en","note":"_eprint: https://onlinelibrary.wiley.com/doi/pdf/10.1046/j.1532-5415.2002.50122.x","page":"530-534","source":"Wiley Online Library","title":"The GPCOG: A New Screening Test for Dementia Designed for General Practice","title-short":"The GPCOG","volume":"50","author":[{"family":"Brodaty","given":"Henry"},{"family":"Pond","given":"Dimity"},{"family":"Kemp","given":"Nicola M."},{"family":"Luscombe","given":"Georgina"},{"family":"Harding","given":"Louise"},{"family":"Berman","given":"Karen"},{"family":"Huppert","given":"Felicia A."}],"issued":{"date-parts":[["2002"]]}}}],"schema":"https://github.com/citation-style-language/schema/raw/master/csl-citation.json"} </w:instrText>
      </w:r>
      <w:r>
        <w:fldChar w:fldCharType="separate"/>
      </w:r>
      <w:r w:rsidRPr="00830763">
        <w:rPr>
          <w:rFonts w:ascii="Calibri" w:hAnsi="Calibri"/>
        </w:rPr>
        <w:t>(Brodaty et al., 2002)</w:t>
      </w:r>
      <w:r>
        <w:fldChar w:fldCharType="end"/>
      </w:r>
    </w:p>
    <w:p w14:paraId="7D5118B8" w14:textId="77777777" w:rsidR="00090C5B" w:rsidRDefault="00090C5B" w:rsidP="00090C5B">
      <w:pPr>
        <w:spacing w:after="0" w:line="276" w:lineRule="auto"/>
        <w:jc w:val="both"/>
      </w:pPr>
      <w:r>
        <w:t xml:space="preserve">HAMD: Hamilton Depression Rating Scale </w:t>
      </w:r>
      <w:r>
        <w:fldChar w:fldCharType="begin"/>
      </w:r>
      <w:r>
        <w:instrText xml:space="preserve"> ADDIN ZOTERO_ITEM CSL_CITATION {"citationID":"FeSWQIG5","properties":{"formattedCitation":"(Hamilton, 1960; Williams, 1988)","plainCitation":"(Hamilton, 1960; Williams, 1988)","noteIndex":0},"citationItems":[{"id":3532,"uris":["http://zotero.org/groups/2433117/items/DMLKBYHM"],"uri":["http://zotero.org/groups/2433117/items/DMLKBYHM"],"itemData":{"id":3532,"type":"article-journal","container-title":"Journal of Neurology, Neurosurgery &amp; Psychiatry","DOI":"10.1136/jnnp.23.1.56","ISSN":"0022-3050, 1468-330X","issue":"1","language":"en","note":"publisher: BMJ Publishing Group Ltd\nsection: Articles\nPMID: 14399272","page":"56-62","source":"jnnp.bmj.com","title":"A Rating Scale for Depression","volume":"23","author":[{"family":"Hamilton","given":"Max"}],"issued":{"date-parts":[["1960",2,1]]}}},{"id":3538,"uris":["http://zotero.org/groups/2433117/items/3S6YNE9Y"],"uri":["http://zotero.org/groups/2433117/items/3S6YNE9Y"],"itemData":{"id":3538,"type":"article-journal","abstract":"&lt;p&gt;• The Hamilton Depression Rating Scale (HDRS) is the most widely used scale for patient selection and follow-up in research studies of treatments of depression. Despite extensive study of the reliability and validity of the total scale score, the psychometric characteristics of the individual items have not been well studied. In the only reliability study to report agreement on individual items using a test-retest interview method, most of the items had only fair or poor agreement. Because this is due in part to variability in the way the Information is obtained to make the various rating distinctions, the Structured Interview Guide for the HDRS (SIGH-D) was developed to standardize the manner of administration of the scale. A test-retest reliability study conducted on a series of psychiatric inpatients demonstrated that the use of the SIGH-D results in a substantially improved level of agreement for most of the HDRS items.&lt;/p&gt;","container-title":"Archives of General Psychiatry","DOI":"10.1001/archpsyc.1988.01800320058007","ISSN":"0003-990X","issue":"8","journalAbbreviation":"Arch Gen Psychiatry","language":"en","note":"publisher: American Medical Association","page":"742-747","source":"jamanetwork.com","title":"A Structured Interview Guide for the Hamilton Depression Rating Scale","volume":"45","author":[{"family":"Williams","given":"Janet B. W."}],"issued":{"date-parts":[["1988",8,1]]}}}],"schema":"https://github.com/citation-style-language/schema/raw/master/csl-citation.json"} </w:instrText>
      </w:r>
      <w:r>
        <w:fldChar w:fldCharType="separate"/>
      </w:r>
      <w:r w:rsidRPr="00830763">
        <w:rPr>
          <w:rFonts w:ascii="Calibri" w:hAnsi="Calibri"/>
        </w:rPr>
        <w:t>(Hamilton, 1960; Williams, 1988)</w:t>
      </w:r>
      <w:r>
        <w:fldChar w:fldCharType="end"/>
      </w:r>
    </w:p>
    <w:p w14:paraId="2B2E4401" w14:textId="77777777" w:rsidR="00090C5B" w:rsidRDefault="00090C5B" w:rsidP="00090C5B">
      <w:pPr>
        <w:spacing w:after="0" w:line="276" w:lineRule="auto"/>
        <w:jc w:val="both"/>
      </w:pPr>
      <w:r>
        <w:t xml:space="preserve">HMSE: Hindi Mental State Examination </w:t>
      </w:r>
      <w:r>
        <w:fldChar w:fldCharType="begin"/>
      </w:r>
      <w:r>
        <w:instrText xml:space="preserve"> ADDIN ZOTERO_ITEM CSL_CITATION {"citationID":"XLZdj54h","properties":{"formattedCitation":"(Ganguli et al., 1995)","plainCitation":"(Ganguli et al., 1995)","noteIndex":0},"citationItems":[{"id":3484,"uris":["http://zotero.org/groups/2433117/items/RBRZ6H6J"],"uri":["http://zotero.org/groups/2433117/items/RBRZ6H6J"],"itemData":{"id":3484,"type":"article-journal","abstract":"The Indo-US Cross-National Dementia Epidemiology Study seeks to compare two rural populations, in the US and India: the Monongahela Valley, a rural community of relatively low socioeconomic status in southwestern Pennsylvania (USA), and Ballabgarh, a rural community near New Delhi in North India. Of Particular interest is the fact that the Ballabgarh elderly population is exclusively Hindi-speaking, has little or no education and is largely illiterate, rendering its cognitive screening a particular challenge. In this article we report methods and preliminary data on the development of a Hindi cognitive screening instrument suitable for the Ballabgarh elderly population. We use as an example our Hindi adaptation of the Mini-Mental State Examination (MMSE), a widely used global cognitive screening scale. Systematic, item-by-item, empirically based test development has shown that effective modifications can be made to existing tests that require reading and writing; and that culturally sensitive modifications can be made to render the test meaningful and relevant while still tapping the appropriate cognitive domains. Certain cognitive functions, particularly orientation to time, remain difficult to test adequately in this type of population. In Ballabgarh, as in the Monongahela Valley, educated individuals obtain higher test scores. Implications for dementia screening are discussed, including those relevant to the hypothesis that low education predisposes to dementia.","container-title":"International Journal of Geriatric Psychiatry","DOI":"10.1002/gps.930100505","ISSN":"1099-1166","issue":"5","language":"en","note":"_eprint: https://onlinelibrary.wiley.com/doi/pdf/10.1002/gps.930100505","page":"367-377","source":"Wiley Online Library","title":"A hindi version of the MMSE: The development of a cognitive screening instrument for a largely illiterate rural elderly population in india","title-short":"A hindi version of the MMSE","volume":"10","author":[{"family":"Ganguli","given":"Mary"},{"family":"Ratcliff","given":"Graham"},{"family":"Chandra","given":"Vijay"},{"family":"Sharma","given":"Sujatha"},{"family":"Gilby","given":"Joanne"},{"family":"Pandav","given":"Rajesh"},{"family":"Belle","given":"Steven"},{"family":"Ryan","given":"Christopher"},{"family":"Baker","given":"Carol"},{"family":"Seaberg","given":"Eric"},{"family":"Dekosky","given":"Steven"}],"issued":{"date-parts":[["1995"]]}}}],"schema":"https://github.com/citation-style-language/schema/raw/master/csl-citation.json"} </w:instrText>
      </w:r>
      <w:r>
        <w:fldChar w:fldCharType="separate"/>
      </w:r>
      <w:r w:rsidRPr="00830763">
        <w:rPr>
          <w:rFonts w:ascii="Calibri" w:hAnsi="Calibri"/>
        </w:rPr>
        <w:t>(Ganguli et al., 1995)</w:t>
      </w:r>
      <w:r>
        <w:fldChar w:fldCharType="end"/>
      </w:r>
    </w:p>
    <w:p w14:paraId="28F3A944" w14:textId="77777777" w:rsidR="00090C5B" w:rsidRDefault="00090C5B" w:rsidP="00090C5B">
      <w:pPr>
        <w:spacing w:after="0" w:line="276" w:lineRule="auto"/>
        <w:jc w:val="both"/>
      </w:pPr>
      <w:r>
        <w:t xml:space="preserve">IADL: Instrumental Activities of Daily Living </w:t>
      </w:r>
      <w:r>
        <w:fldChar w:fldCharType="begin"/>
      </w:r>
      <w:r>
        <w:instrText xml:space="preserve"> ADDIN ZOTERO_ITEM CSL_CITATION {"citationID":"GPmmdOVM","properties":{"formattedCitation":"(Mathuranath et al., 2005)","plainCitation":"(Mathuranath et al., 2005)","noteIndex":0},"citationItems":[{"id":3535,"uris":["http://zotero.org/groups/2433117/items/H6LLP4Z2"],"uri":["http://zotero.org/groups/2433117/items/H6LLP4Z2"],"itemData":{"id":3535,"type":"article-journal","abstract":"OBJECTIVE: To develop and validate an Instrumental Activities of Daily Living Scale for elderly people (IADL-E) to use in conjunction with cognitive screening tests for dementia in an educationally and socioculturally heterogeneous population.\nMETHOD: Eleven IADL items were selected and weighted for major factors causing heterogeneity in the population--gender, education, social (rural/urban) setting and age. Each item was rated for its applicability (yes/no), degree of disability (scored from 0 to 2) and causative impairment (cognitive and/or physical). From this a composite index of cognitive (CDI) or physical (PDI) disability was derived. Validation was performed retrospectively on 240 subjects: 135 without and 105 with dementia by DSM-IV.\nRESULTS: The IADL-E had a high internal consistency (alpha = 0.95). The area under the receiver operating characteristic (ROC) curve was 0.97 (CI = 0.94-0.99). A cutoff score of 16 on CDI provided a sensitivity of 0.91, specificity 0.99 and positive predictive value 0.76 (at 5% base rate). IADL-E correlated highly with clinical (DSM-IV, kappa = 0.89), functional (CDR, 0.82) and cognitive (Mini-mental Status Examination, MMSE, 0.74) diagnoses. It showed good responsiveness, with the change on CDI over a median of 23 months correlating significantly with that on MMSE (coefficient = -0.382, CI = -0.667 to -0.098; p=0.009). Individual items had good interrater and test-retest reliability.\nCONCLUSIONS: The IADL-E is a reliable, sensitive and responsive scale of functional abilities useful in dementia screening in a socioculturally heterogeneous population.","container-title":"International Psychogeriatrics","DOI":"10.1017/s1041610205001547","ISSN":"1041-6102","issue":"3","journalAbbreviation":"Int Psychogeriatr","language":"eng","note":"PMID: 16252378","page":"461-474","source":"PubMed","title":"Instrumental activities of daily living scale for dementia screening in elderly people","volume":"17","author":[{"family":"Mathuranath","given":"P. S."},{"family":"George","given":"Annamma"},{"family":"Cherian","given":"P. Joseph"},{"family":"Mathew","given":"Robert"},{"family":"Sarma","given":"P. Sankara"}],"issued":{"date-parts":[["2005",9]]}}}],"schema":"https://github.com/citation-style-language/schema/raw/master/csl-citation.json"} </w:instrText>
      </w:r>
      <w:r>
        <w:fldChar w:fldCharType="separate"/>
      </w:r>
      <w:r w:rsidRPr="00830763">
        <w:rPr>
          <w:rFonts w:ascii="Calibri" w:hAnsi="Calibri"/>
        </w:rPr>
        <w:t>(Mathuranath et al., 2005)</w:t>
      </w:r>
      <w:r>
        <w:fldChar w:fldCharType="end"/>
      </w:r>
    </w:p>
    <w:p w14:paraId="26B15372" w14:textId="77777777" w:rsidR="00090C5B" w:rsidRDefault="00090C5B" w:rsidP="00090C5B">
      <w:pPr>
        <w:spacing w:after="0" w:line="276" w:lineRule="auto"/>
        <w:jc w:val="both"/>
      </w:pPr>
      <w:r>
        <w:t xml:space="preserve">NIA-AA: National Institute on Aging-Alzheimer’s Association workgroups </w:t>
      </w:r>
      <w:r>
        <w:fldChar w:fldCharType="begin"/>
      </w:r>
      <w:r>
        <w:instrText xml:space="preserve"> ADDIN ZOTERO_ITEM CSL_CITATION {"citationID":"qFbJbELP","properties":{"formattedCitation":"(McKhann et al., 2011)","plainCitation":"(McKhann et al., 2011)","noteIndex":0},"citationItems":[{"id":3512,"uris":["http://zotero.org/groups/2433117/items/G9PXI2MJ"],"uri":["http://zotero.org/groups/2433117/items/G9PXI2MJ"],"itemData":{"id":3512,"type":"article-journal","abstract":"The National Institute on Aging and the Alzheimer's Association charged a workgroup with the task of revising the 1984 criteria for Alzheimer's disease (AD) dementia. The workgroup sought to ensure that the revised criteria would be flexible enough to be used by both general healthcare providers without access to neuropsychological testing, advanced imaging, and cerebrospinal fluid measures, and specialized investigators involved in research or in clinical trial studies who would have these tools available. We present criteria for all-cause dementia and for AD dementia. We retained the general framework of probable AD dementia from the 1984 criteria. On the basis of the past 27 years of experience, we made several changes in the clinical criteria for the diagnosis. We also retained the term possible AD dementia, but redefined it in a manner more focused than before. Biomarker evidence was also integrated into the diagnostic formulations for probable and possible AD dementia for use in research settings. The core clinical criteria for AD dementia will continue to be the cornerstone of the diagnosis in clinical practice, but biomarker evidence is expected to enhance the pathophysiological specificity of the diagnosis of AD dementia. Much work lies ahead for validating the biomarker diagnosis of AD dementia.","container-title":"Alzheimer's &amp; Dementia","DOI":"10.1016/j.jalz.2011.03.005","ISSN":"1552-5260","issue":"3","journalAbbreviation":"Alzheimer's &amp; Dementia","note":"publisher: John Wiley &amp; Sons, Ltd","page":"263-269","source":"alz-journals.onlinelibrary.wiley.com (Atypon)","title":"The diagnosis of dementia due to Alzheimer's disease: Recommendations from the National Institute on Aging-Alzheimer's Association workgroups on diagnostic guidelines for Alzheimer's disease","title-short":"The diagnosis of dementia due to Alzheimer's disease","volume":"7","author":[{"family":"McKhann","given":"Guy M."},{"family":"Knopman","given":"David S."},{"family":"Chertkow","given":"Howard"},{"family":"Hyman","given":"Bradley T."},{"family":"Jack Jr.","given":"Clifford R."},{"family":"Kawas","given":"Claudia H."},{"family":"Klunk","given":"William E."},{"family":"Koroshetz","given":"Walter J."},{"family":"Manly","given":"Jennifer J."},{"family":"Mayeux","given":"Richard"},{"family":"Mohs","given":"Richard C."},{"family":"Morris","given":"John C."},{"family":"Rossor","given":"Martin N."},{"family":"Scheltens","given":"Philip"},{"family":"Carrillo","given":"Maria C."},{"family":"Thies","given":"Bill"},{"family":"Weintraub","given":"Sandra"},{"family":"Phelps","given":"Creighton H."}],"issued":{"date-parts":[["2011",5,1]]}}}],"schema":"https://github.com/citation-style-language/schema/raw/master/csl-citation.json"} </w:instrText>
      </w:r>
      <w:r>
        <w:fldChar w:fldCharType="separate"/>
      </w:r>
      <w:r w:rsidRPr="00830763">
        <w:rPr>
          <w:rFonts w:ascii="Calibri" w:hAnsi="Calibri"/>
        </w:rPr>
        <w:t>(McKhann et al., 2011)</w:t>
      </w:r>
      <w:r>
        <w:fldChar w:fldCharType="end"/>
      </w:r>
    </w:p>
    <w:p w14:paraId="7BDB09A9" w14:textId="77777777" w:rsidR="00090C5B" w:rsidRDefault="00090C5B" w:rsidP="00090C5B">
      <w:pPr>
        <w:spacing w:after="0" w:line="276" w:lineRule="auto"/>
        <w:jc w:val="both"/>
      </w:pPr>
      <w:r>
        <w:t xml:space="preserve">NPI: Neuropsychiatric Inventory </w:t>
      </w:r>
      <w:r>
        <w:fldChar w:fldCharType="begin"/>
      </w:r>
      <w:r>
        <w:instrText xml:space="preserve"> ADDIN ZOTERO_ITEM CSL_CITATION {"citationID":"LZ15lRTs","properties":{"formattedCitation":"(Cummings et al., 1994)","plainCitation":"(Cummings et al., 1994)","noteIndex":0},"citationItems":[{"id":3531,"uris":["http://zotero.org/groups/2433117/items/BCVY7DM5"],"uri":["http://zotero.org/groups/2433117/items/BCVY7DM5"],"itemData":{"id":3531,"type":"article-journal","container-title":"Neurology","DOI":"10.1212/WNL.44.12.2308","ISSN":"0028-3878, 1526-632X","issue":"12","language":"en","page":"2308-2308","source":"Crossref","title":"The Neuropsychiatric Inventory: Comprehensive assessment of psychopathology in dementia","title-short":"The Neuropsychiatric Inventory","volume":"44","author":[{"family":"Cummings","given":"J. L."},{"family":"Mega","given":"M."},{"family":"Gray","given":"K."},{"family":"Rosenberg-Thompson","given":"S."},{"family":"Carusi","given":"D. A."},{"family":"Gornbein","given":"J."}],"issued":{"date-parts":[["1994",12,1]]}}}],"schema":"https://github.com/citation-style-language/schema/raw/master/csl-citation.json"} </w:instrText>
      </w:r>
      <w:r>
        <w:fldChar w:fldCharType="separate"/>
      </w:r>
      <w:r w:rsidRPr="00830763">
        <w:rPr>
          <w:rFonts w:ascii="Calibri" w:hAnsi="Calibri"/>
        </w:rPr>
        <w:t>(Cummings et al., 1994)</w:t>
      </w:r>
      <w:r>
        <w:fldChar w:fldCharType="end"/>
      </w:r>
    </w:p>
    <w:p w14:paraId="1D0EA304" w14:textId="77777777" w:rsidR="00090C5B" w:rsidRDefault="00090C5B" w:rsidP="00090C5B">
      <w:pPr>
        <w:spacing w:after="0" w:line="276" w:lineRule="auto"/>
        <w:jc w:val="both"/>
      </w:pPr>
      <w:r>
        <w:t>TLSA: Tata Longitudinal Study of Aging</w:t>
      </w:r>
    </w:p>
    <w:p w14:paraId="5590856D" w14:textId="77777777" w:rsidR="00090C5B" w:rsidRDefault="00090C5B" w:rsidP="00090C5B">
      <w:pPr>
        <w:spacing w:after="0" w:line="276" w:lineRule="auto"/>
        <w:jc w:val="both"/>
      </w:pPr>
    </w:p>
    <w:p w14:paraId="245B908C" w14:textId="77777777" w:rsidR="00090C5B" w:rsidRDefault="00090C5B" w:rsidP="00090C5B">
      <w:pPr>
        <w:spacing w:line="276" w:lineRule="auto"/>
        <w:jc w:val="both"/>
      </w:pPr>
      <w:r>
        <w:rPr>
          <w:vertAlign w:val="superscript"/>
        </w:rPr>
        <w:t>1</w:t>
      </w:r>
      <w:r>
        <w:t xml:space="preserve">NIA-AA criteria are presented from </w:t>
      </w:r>
      <w:proofErr w:type="spellStart"/>
      <w:r>
        <w:t>McKhann</w:t>
      </w:r>
      <w:proofErr w:type="spellEnd"/>
      <w:r>
        <w:t xml:space="preserve"> et al. </w:t>
      </w:r>
      <w:r>
        <w:fldChar w:fldCharType="begin"/>
      </w:r>
      <w:r>
        <w:instrText xml:space="preserve"> ADDIN ZOTERO_ITEM CSL_CITATION {"citationID":"YxEJPSV4","properties":{"formattedCitation":"(2011)","plainCitation":"(2011)","noteIndex":0},"citationItems":[{"id":3512,"uris":["http://zotero.org/groups/2433117/items/G9PXI2MJ"],"uri":["http://zotero.org/groups/2433117/items/G9PXI2MJ"],"itemData":{"id":3512,"type":"article-journal","abstract":"The National Institute on Aging and the Alzheimer's Association charged a workgroup with the task of revising the 1984 criteria for Alzheimer's disease (AD) dementia. The workgroup sought to ensure that the revised criteria would be flexible enough to be used by both general healthcare providers without access to neuropsychological testing, advanced imaging, and cerebrospinal fluid measures, and specialized investigators involved in research or in clinical trial studies who would have these tools available. We present criteria for all-cause dementia and for AD dementia. We retained the general framework of probable AD dementia from the 1984 criteria. On the basis of the past 27 years of experience, we made several changes in the clinical criteria for the diagnosis. We also retained the term possible AD dementia, but redefined it in a manner more focused than before. Biomarker evidence was also integrated into the diagnostic formulations for probable and possible AD dementia for use in research settings. The core clinical criteria for AD dementia will continue to be the cornerstone of the diagnosis in clinical practice, but biomarker evidence is expected to enhance the pathophysiological specificity of the diagnosis of AD dementia. Much work lies ahead for validating the biomarker diagnosis of AD dementia.","container-title":"Alzheimer's &amp; Dementia","DOI":"10.1016/j.jalz.2011.03.005","ISSN":"1552-5260","issue":"3","journalAbbreviation":"Alzheimer's &amp; Dementia","note":"publisher: John Wiley &amp; Sons, Ltd","page":"263-269","source":"alz-journals.onlinelibrary.wiley.com (Atypon)","title":"The diagnosis of dementia due to Alzheimer's disease: Recommendations from the National Institute on Aging-Alzheimer's Association workgroups on diagnostic guidelines for Alzheimer's disease","title-short":"The diagnosis of dementia due to Alzheimer's disease","volume":"7","author":[{"family":"McKhann","given":"Guy M."},{"family":"Knopman","given":"David S."},{"family":"Chertkow","given":"Howard"},{"family":"Hyman","given":"Bradley T."},{"family":"Jack Jr.","given":"Clifford R."},{"family":"Kawas","given":"Claudia H."},{"family":"Klunk","given":"William E."},{"family":"Koroshetz","given":"Walter J."},{"family":"Manly","given":"Jennifer J."},{"family":"Mayeux","given":"Richard"},{"family":"Mohs","given":"Richard C."},{"family":"Morris","given":"John C."},{"family":"Rossor","given":"Martin N."},{"family":"Scheltens","given":"Philip"},{"family":"Carrillo","given":"Maria C."},{"family":"Thies","given":"Bill"},{"family":"Weintraub","given":"Sandra"},{"family":"Phelps","given":"Creighton H."}],"issued":{"date-parts":[["2011",5,1]]}},"suppress-author":true}],"schema":"https://github.com/citation-style-language/schema/raw/master/csl-citation.json"} </w:instrText>
      </w:r>
      <w:r>
        <w:fldChar w:fldCharType="separate"/>
      </w:r>
      <w:r w:rsidRPr="00830763">
        <w:rPr>
          <w:rFonts w:ascii="Calibri" w:hAnsi="Calibri"/>
        </w:rPr>
        <w:t>(2011)</w:t>
      </w:r>
      <w:r>
        <w:fldChar w:fldCharType="end"/>
      </w:r>
    </w:p>
    <w:p w14:paraId="67C51E8D" w14:textId="77777777" w:rsidR="00090C5B" w:rsidRDefault="00090C5B" w:rsidP="00090C5B">
      <w:r>
        <w:rPr>
          <w:vertAlign w:val="superscript"/>
        </w:rPr>
        <w:t>2</w:t>
      </w:r>
      <w:r>
        <w:t>Cognitive decline could also be seen in delirium. So, this criterion is intended to rule out delirium. A combination of clinician assessment and HMSE is used. Acute change in cognitive status and/or HMSE&lt;24 is suggestive of delirium.</w:t>
      </w:r>
    </w:p>
    <w:p w14:paraId="1032034F" w14:textId="77777777" w:rsidR="00090C5B" w:rsidRDefault="00090C5B" w:rsidP="00090C5B">
      <w:r>
        <w:rPr>
          <w:vertAlign w:val="superscript"/>
        </w:rPr>
        <w:t>3</w:t>
      </w:r>
      <w:r>
        <w:t>This criterion is intended to rule out moderate/severe depression as that can cause cognitive impairment.</w:t>
      </w:r>
    </w:p>
    <w:p w14:paraId="69B59961" w14:textId="77777777" w:rsidR="00090C5B" w:rsidRDefault="00090C5B" w:rsidP="00090C5B">
      <w:r>
        <w:br w:type="page"/>
      </w:r>
    </w:p>
    <w:p w14:paraId="76CA1A77" w14:textId="3CE963A5" w:rsidR="00090C5B" w:rsidRDefault="00090C5B" w:rsidP="00090C5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Table 2: Criteria </w:t>
      </w:r>
      <w:r w:rsidR="00C8257E">
        <w:rPr>
          <w:rFonts w:ascii="Times New Roman" w:hAnsi="Times New Roman" w:cs="Times New Roman"/>
          <w:b/>
          <w:sz w:val="24"/>
          <w:szCs w:val="24"/>
        </w:rPr>
        <w:t xml:space="preserve">used for consensus diagnosis of </w:t>
      </w:r>
      <w:r>
        <w:rPr>
          <w:rFonts w:ascii="Times New Roman" w:hAnsi="Times New Roman" w:cs="Times New Roman"/>
          <w:b/>
          <w:sz w:val="24"/>
          <w:szCs w:val="24"/>
        </w:rPr>
        <w:t>probable AD</w:t>
      </w: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521"/>
        <w:gridCol w:w="4536"/>
      </w:tblGrid>
      <w:tr w:rsidR="00090C5B" w14:paraId="444160EE" w14:textId="77777777" w:rsidTr="00073A42">
        <w:trPr>
          <w:trHeight w:val="315"/>
        </w:trPr>
        <w:tc>
          <w:tcPr>
            <w:tcW w:w="4521" w:type="dxa"/>
            <w:tcBorders>
              <w:top w:val="single" w:sz="12" w:space="0" w:color="auto"/>
              <w:left w:val="single" w:sz="12" w:space="0" w:color="auto"/>
              <w:bottom w:val="single" w:sz="12" w:space="0" w:color="auto"/>
              <w:right w:val="single" w:sz="12" w:space="0" w:color="auto"/>
            </w:tcBorders>
            <w:shd w:val="clear" w:color="auto" w:fill="FFE599"/>
            <w:tcMar>
              <w:top w:w="30" w:type="dxa"/>
              <w:left w:w="45" w:type="dxa"/>
              <w:bottom w:w="30" w:type="dxa"/>
              <w:right w:w="45" w:type="dxa"/>
            </w:tcMar>
            <w:vAlign w:val="center"/>
            <w:hideMark/>
          </w:tcPr>
          <w:p w14:paraId="42664D94" w14:textId="77777777" w:rsidR="00090C5B" w:rsidRDefault="00090C5B" w:rsidP="00073A4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NIA-AA criteria for probable AD</w:t>
            </w:r>
          </w:p>
        </w:tc>
        <w:tc>
          <w:tcPr>
            <w:tcW w:w="4536" w:type="dxa"/>
            <w:tcBorders>
              <w:top w:val="single" w:sz="12" w:space="0" w:color="auto"/>
              <w:left w:val="single" w:sz="12" w:space="0" w:color="auto"/>
              <w:bottom w:val="single" w:sz="12" w:space="0" w:color="auto"/>
              <w:right w:val="single" w:sz="12" w:space="0" w:color="auto"/>
            </w:tcBorders>
            <w:shd w:val="clear" w:color="auto" w:fill="FFE599"/>
            <w:tcMar>
              <w:top w:w="30" w:type="dxa"/>
              <w:left w:w="45" w:type="dxa"/>
              <w:bottom w:w="30" w:type="dxa"/>
              <w:right w:w="45" w:type="dxa"/>
            </w:tcMar>
            <w:vAlign w:val="center"/>
            <w:hideMark/>
          </w:tcPr>
          <w:p w14:paraId="69BAF477" w14:textId="77777777" w:rsidR="00090C5B" w:rsidRDefault="00090C5B" w:rsidP="00073A4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TLSA criteria for probable AD</w:t>
            </w:r>
          </w:p>
        </w:tc>
      </w:tr>
      <w:tr w:rsidR="00090C5B" w14:paraId="6655E076" w14:textId="77777777" w:rsidTr="00073A42">
        <w:trPr>
          <w:trHeight w:val="315"/>
        </w:trPr>
        <w:tc>
          <w:tcPr>
            <w:tcW w:w="4521"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1B30734A"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Meets criteria for dementia (see Supplementary Table 1)</w:t>
            </w:r>
          </w:p>
        </w:tc>
        <w:tc>
          <w:tcPr>
            <w:tcW w:w="4536"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2CC395C8"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Meets criteria for dementia (as in Supplementary Table 1)</w:t>
            </w:r>
          </w:p>
        </w:tc>
      </w:tr>
      <w:tr w:rsidR="00090C5B" w14:paraId="5C0BA194" w14:textId="77777777" w:rsidTr="00073A42">
        <w:trPr>
          <w:trHeight w:val="315"/>
        </w:trPr>
        <w:tc>
          <w:tcPr>
            <w:tcW w:w="4521"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079101A9"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Clear-cut history of worsening of cognition by report or observation</w:t>
            </w:r>
          </w:p>
        </w:tc>
        <w:tc>
          <w:tcPr>
            <w:tcW w:w="4536"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60F96E5C"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GPCOG informant subdomain &gt; 4</w:t>
            </w:r>
          </w:p>
        </w:tc>
      </w:tr>
      <w:tr w:rsidR="00090C5B" w14:paraId="7749C0EE" w14:textId="77777777" w:rsidTr="00073A42">
        <w:trPr>
          <w:trHeight w:val="315"/>
        </w:trPr>
        <w:tc>
          <w:tcPr>
            <w:tcW w:w="4521"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454282A8"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Most prominent cognitive deficits are </w:t>
            </w:r>
          </w:p>
          <w:p w14:paraId="239B4358" w14:textId="77777777" w:rsidR="00090C5B" w:rsidRDefault="00090C5B" w:rsidP="00073A4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Amnestic presentation</w:t>
            </w:r>
          </w:p>
          <w:p w14:paraId="1673586B" w14:textId="77777777" w:rsidR="00090C5B" w:rsidRDefault="00090C5B" w:rsidP="00073A4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Non-amnestic presentations</w:t>
            </w:r>
          </w:p>
          <w:p w14:paraId="6213C55B" w14:textId="77777777" w:rsidR="00090C5B" w:rsidRDefault="00090C5B" w:rsidP="00073A4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Language/visuospatial/executive dysfunction </w:t>
            </w:r>
          </w:p>
        </w:tc>
        <w:tc>
          <w:tcPr>
            <w:tcW w:w="4536"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2B870EA6"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Clinician’s assessment based on sub scores of ACE or HMSE or GPCOG patient scores</w:t>
            </w:r>
          </w:p>
        </w:tc>
      </w:tr>
      <w:tr w:rsidR="00090C5B" w14:paraId="30272734" w14:textId="77777777" w:rsidTr="00073A42">
        <w:trPr>
          <w:trHeight w:val="315"/>
        </w:trPr>
        <w:tc>
          <w:tcPr>
            <w:tcW w:w="4521" w:type="dxa"/>
            <w:vMerge w:val="restart"/>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637B675D"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Should not have </w:t>
            </w:r>
          </w:p>
          <w:p w14:paraId="10395333" w14:textId="77777777" w:rsidR="00090C5B" w:rsidRDefault="00090C5B" w:rsidP="00073A42">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Substantial concomitant cerebrovascular disease (Stroke/extensive infarcts/severe WMH)</w:t>
            </w:r>
          </w:p>
          <w:p w14:paraId="02397B09" w14:textId="77777777" w:rsidR="00090C5B" w:rsidRDefault="00090C5B" w:rsidP="00073A42">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Features of Lewy body dementia</w:t>
            </w:r>
            <w:r>
              <w:rPr>
                <w:rFonts w:ascii="Times New Roman" w:hAnsi="Times New Roman" w:cs="Times New Roman"/>
                <w:sz w:val="24"/>
                <w:szCs w:val="24"/>
              </w:rPr>
              <w:br/>
              <w:t>Features of FTD</w:t>
            </w:r>
          </w:p>
          <w:p w14:paraId="7231C1E3" w14:textId="77777777" w:rsidR="00090C5B" w:rsidRDefault="00090C5B" w:rsidP="00073A42">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Features of primary progressive aphasia</w:t>
            </w:r>
          </w:p>
          <w:p w14:paraId="79E81574" w14:textId="77777777" w:rsidR="00090C5B" w:rsidRDefault="00090C5B" w:rsidP="00073A42">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Concurrent neurological cause/medical comorbidity/medication impairing cognition</w:t>
            </w:r>
          </w:p>
        </w:tc>
        <w:tc>
          <w:tcPr>
            <w:tcW w:w="4536"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578BFAF3"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No Clinical history of stroke </w:t>
            </w:r>
          </w:p>
        </w:tc>
      </w:tr>
      <w:tr w:rsidR="00090C5B" w14:paraId="62E9886A" w14:textId="77777777" w:rsidTr="00073A42">
        <w:trPr>
          <w:trHeight w:val="31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917B115" w14:textId="77777777" w:rsidR="00090C5B" w:rsidRDefault="00090C5B" w:rsidP="00073A42">
            <w:pPr>
              <w:spacing w:after="0"/>
              <w:rPr>
                <w:rFonts w:ascii="Times New Roman" w:hAnsi="Times New Roman" w:cs="Times New Roman"/>
                <w:sz w:val="24"/>
                <w:szCs w:val="24"/>
              </w:rPr>
            </w:pPr>
          </w:p>
        </w:tc>
        <w:tc>
          <w:tcPr>
            <w:tcW w:w="4536"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4CF15F80"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No structural abnormality, no evidence of severe white matter hyperintensities and no evidence of extensive infarcts or bleed, as seen in MRI</w:t>
            </w:r>
          </w:p>
        </w:tc>
      </w:tr>
      <w:tr w:rsidR="00090C5B" w14:paraId="25ADB465" w14:textId="77777777" w:rsidTr="00073A42">
        <w:trPr>
          <w:trHeight w:val="31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4233F52" w14:textId="77777777" w:rsidR="00090C5B" w:rsidRDefault="00090C5B" w:rsidP="00073A42">
            <w:pPr>
              <w:spacing w:after="0"/>
              <w:rPr>
                <w:rFonts w:ascii="Times New Roman" w:hAnsi="Times New Roman" w:cs="Times New Roman"/>
                <w:sz w:val="24"/>
                <w:szCs w:val="24"/>
              </w:rPr>
            </w:pPr>
          </w:p>
        </w:tc>
        <w:tc>
          <w:tcPr>
            <w:tcW w:w="4536"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47410D72"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NPI (&gt;2 of the following behavioral problems should be absent: apathy, disinhibition, elation and anger)</w:t>
            </w:r>
          </w:p>
        </w:tc>
      </w:tr>
      <w:tr w:rsidR="00090C5B" w14:paraId="0DE20DB9" w14:textId="77777777" w:rsidTr="00073A42">
        <w:trPr>
          <w:trHeight w:val="6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3EE4256" w14:textId="77777777" w:rsidR="00090C5B" w:rsidRDefault="00090C5B" w:rsidP="00073A42">
            <w:pPr>
              <w:spacing w:after="0"/>
              <w:rPr>
                <w:rFonts w:ascii="Times New Roman" w:hAnsi="Times New Roman" w:cs="Times New Roman"/>
                <w:sz w:val="24"/>
                <w:szCs w:val="24"/>
              </w:rPr>
            </w:pPr>
          </w:p>
        </w:tc>
        <w:tc>
          <w:tcPr>
            <w:tcW w:w="4536"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3673A733"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Clinician’s assessment on reversible causes of dementia/other causes of dementia</w:t>
            </w:r>
          </w:p>
        </w:tc>
      </w:tr>
    </w:tbl>
    <w:p w14:paraId="34351C8B" w14:textId="77777777" w:rsidR="00090C5B" w:rsidRDefault="00090C5B" w:rsidP="00090C5B">
      <w:pPr>
        <w:spacing w:after="0" w:line="276" w:lineRule="auto"/>
        <w:jc w:val="both"/>
      </w:pPr>
    </w:p>
    <w:p w14:paraId="7494CC05" w14:textId="77777777" w:rsidR="00090C5B" w:rsidRDefault="00090C5B" w:rsidP="00090C5B">
      <w:pPr>
        <w:spacing w:after="0" w:line="276" w:lineRule="auto"/>
        <w:jc w:val="both"/>
      </w:pPr>
      <w:r>
        <w:t>WMH: white matter hyperintensities</w:t>
      </w:r>
    </w:p>
    <w:p w14:paraId="0B63DF9E" w14:textId="77777777" w:rsidR="00090C5B" w:rsidRDefault="00090C5B" w:rsidP="00090C5B">
      <w:pPr>
        <w:spacing w:after="0" w:line="276" w:lineRule="auto"/>
        <w:jc w:val="both"/>
      </w:pPr>
      <w:r>
        <w:t>FTD: Frontotemporal Dementia</w:t>
      </w:r>
    </w:p>
    <w:p w14:paraId="1186775C" w14:textId="77777777" w:rsidR="00090C5B" w:rsidRDefault="00090C5B" w:rsidP="00090C5B">
      <w:pPr>
        <w:spacing w:after="0" w:line="276" w:lineRule="auto"/>
        <w:jc w:val="both"/>
      </w:pPr>
      <w:r>
        <w:t>The rest of the abbreviations are as described in Supplementary Table 1.</w:t>
      </w:r>
    </w:p>
    <w:p w14:paraId="6E9DB86B" w14:textId="77777777" w:rsidR="00090C5B" w:rsidRDefault="00090C5B" w:rsidP="00090C5B">
      <w:r>
        <w:br w:type="page"/>
      </w:r>
    </w:p>
    <w:p w14:paraId="33B8E353" w14:textId="042B9F87" w:rsidR="00090C5B" w:rsidRDefault="00090C5B" w:rsidP="00090C5B">
      <w:pPr>
        <w:spacing w:line="480" w:lineRule="auto"/>
        <w:jc w:val="both"/>
      </w:pPr>
      <w:r>
        <w:rPr>
          <w:rFonts w:ascii="Times New Roman" w:hAnsi="Times New Roman" w:cs="Times New Roman"/>
          <w:b/>
          <w:sz w:val="24"/>
          <w:szCs w:val="24"/>
        </w:rPr>
        <w:lastRenderedPageBreak/>
        <w:t xml:space="preserve">Supplementary Table 3: Criteria </w:t>
      </w:r>
      <w:r w:rsidR="00C8257E">
        <w:rPr>
          <w:rFonts w:ascii="Times New Roman" w:hAnsi="Times New Roman" w:cs="Times New Roman"/>
          <w:b/>
          <w:sz w:val="24"/>
          <w:szCs w:val="24"/>
        </w:rPr>
        <w:t xml:space="preserve">used for consensus diagnosis of </w:t>
      </w:r>
      <w:r>
        <w:rPr>
          <w:rFonts w:ascii="Times New Roman" w:hAnsi="Times New Roman" w:cs="Times New Roman"/>
          <w:b/>
          <w:sz w:val="24"/>
          <w:szCs w:val="24"/>
        </w:rPr>
        <w:t>MCI</w:t>
      </w: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26"/>
        <w:gridCol w:w="5073"/>
      </w:tblGrid>
      <w:tr w:rsidR="00090C5B" w14:paraId="008148F3" w14:textId="77777777" w:rsidTr="00073A42">
        <w:trPr>
          <w:trHeight w:val="315"/>
        </w:trPr>
        <w:tc>
          <w:tcPr>
            <w:tcW w:w="0" w:type="auto"/>
            <w:tcBorders>
              <w:top w:val="single" w:sz="12" w:space="0" w:color="auto"/>
              <w:left w:val="single" w:sz="12" w:space="0" w:color="auto"/>
              <w:bottom w:val="single" w:sz="12" w:space="0" w:color="auto"/>
              <w:right w:val="single" w:sz="12" w:space="0" w:color="auto"/>
            </w:tcBorders>
            <w:shd w:val="clear" w:color="auto" w:fill="D5A6BD"/>
            <w:tcMar>
              <w:top w:w="30" w:type="dxa"/>
              <w:left w:w="45" w:type="dxa"/>
              <w:bottom w:w="30" w:type="dxa"/>
              <w:right w:w="45" w:type="dxa"/>
            </w:tcMar>
            <w:vAlign w:val="center"/>
            <w:hideMark/>
          </w:tcPr>
          <w:p w14:paraId="56F5A3C5" w14:textId="77777777" w:rsidR="00090C5B" w:rsidRDefault="00090C5B" w:rsidP="00073A4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NIA-AA criteria for MCI</w:t>
            </w:r>
          </w:p>
        </w:tc>
        <w:tc>
          <w:tcPr>
            <w:tcW w:w="5073" w:type="dxa"/>
            <w:tcBorders>
              <w:top w:val="single" w:sz="12" w:space="0" w:color="auto"/>
              <w:left w:val="single" w:sz="12" w:space="0" w:color="auto"/>
              <w:bottom w:val="single" w:sz="12" w:space="0" w:color="auto"/>
              <w:right w:val="single" w:sz="12" w:space="0" w:color="auto"/>
            </w:tcBorders>
            <w:shd w:val="clear" w:color="auto" w:fill="D5A6BD"/>
            <w:tcMar>
              <w:top w:w="30" w:type="dxa"/>
              <w:left w:w="45" w:type="dxa"/>
              <w:bottom w:w="30" w:type="dxa"/>
              <w:right w:w="45" w:type="dxa"/>
            </w:tcMar>
            <w:vAlign w:val="center"/>
            <w:hideMark/>
          </w:tcPr>
          <w:p w14:paraId="28989462" w14:textId="77777777" w:rsidR="00090C5B" w:rsidRDefault="00090C5B" w:rsidP="00073A4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TLSA criteria for MCI</w:t>
            </w:r>
          </w:p>
        </w:tc>
      </w:tr>
      <w:tr w:rsidR="00090C5B" w14:paraId="37744642" w14:textId="77777777" w:rsidTr="00073A42">
        <w:trPr>
          <w:trHeight w:val="315"/>
        </w:trPr>
        <w:tc>
          <w:tcPr>
            <w:tcW w:w="0" w:type="auto"/>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7AD8417B"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Concern regarding a change in cognition</w:t>
            </w:r>
          </w:p>
        </w:tc>
        <w:tc>
          <w:tcPr>
            <w:tcW w:w="5073"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5554F628"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CDR = 0.5</w:t>
            </w:r>
          </w:p>
        </w:tc>
      </w:tr>
      <w:tr w:rsidR="00090C5B" w14:paraId="0B21DA21" w14:textId="77777777" w:rsidTr="00073A42">
        <w:trPr>
          <w:trHeight w:val="315"/>
        </w:trPr>
        <w:tc>
          <w:tcPr>
            <w:tcW w:w="0" w:type="auto"/>
            <w:vMerge w:val="restart"/>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tcPr>
          <w:p w14:paraId="02B810C5" w14:textId="77777777" w:rsidR="00090C5B" w:rsidRDefault="00090C5B" w:rsidP="00073A42">
            <w:pPr>
              <w:spacing w:line="276" w:lineRule="auto"/>
              <w:rPr>
                <w:rFonts w:ascii="Times New Roman" w:hAnsi="Times New Roman" w:cs="Times New Roman"/>
                <w:sz w:val="24"/>
                <w:szCs w:val="24"/>
              </w:rPr>
            </w:pPr>
          </w:p>
          <w:p w14:paraId="6A681148"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Impairment in one or more cognitive domains </w:t>
            </w:r>
          </w:p>
          <w:p w14:paraId="356BEE72" w14:textId="77777777" w:rsidR="00090C5B" w:rsidRDefault="00090C5B" w:rsidP="00073A42">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Memory</w:t>
            </w:r>
          </w:p>
          <w:p w14:paraId="08A75C7D" w14:textId="77777777" w:rsidR="00090C5B" w:rsidRDefault="00090C5B" w:rsidP="00073A42">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Executive function</w:t>
            </w:r>
          </w:p>
          <w:p w14:paraId="1793EF6B" w14:textId="77777777" w:rsidR="00090C5B" w:rsidRDefault="00090C5B" w:rsidP="00073A42">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Attention</w:t>
            </w:r>
          </w:p>
          <w:p w14:paraId="2154A4B4" w14:textId="77777777" w:rsidR="00090C5B" w:rsidRDefault="00090C5B" w:rsidP="00073A42">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Language</w:t>
            </w:r>
          </w:p>
          <w:p w14:paraId="473F5625" w14:textId="77777777" w:rsidR="00090C5B" w:rsidRDefault="00090C5B" w:rsidP="00073A42">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Visuospatial skills </w:t>
            </w:r>
          </w:p>
        </w:tc>
        <w:tc>
          <w:tcPr>
            <w:tcW w:w="5073"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63D8B197" w14:textId="77777777" w:rsidR="00090C5B" w:rsidRDefault="00090C5B" w:rsidP="00073A42">
            <w:pPr>
              <w:spacing w:line="276" w:lineRule="auto"/>
              <w:rPr>
                <w:rFonts w:ascii="Times New Roman" w:hAnsi="Times New Roman" w:cs="Times New Roman"/>
                <w:b/>
                <w:sz w:val="24"/>
                <w:szCs w:val="24"/>
              </w:rPr>
            </w:pPr>
            <w:r>
              <w:rPr>
                <w:rFonts w:ascii="Times New Roman" w:hAnsi="Times New Roman" w:cs="Times New Roman"/>
                <w:b/>
                <w:sz w:val="24"/>
                <w:szCs w:val="24"/>
              </w:rPr>
              <w:t>Any one of the following:</w:t>
            </w:r>
          </w:p>
        </w:tc>
      </w:tr>
      <w:tr w:rsidR="00090C5B" w14:paraId="0CE443F6" w14:textId="77777777" w:rsidTr="00073A42">
        <w:trPr>
          <w:trHeight w:val="31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CB9E986" w14:textId="77777777" w:rsidR="00090C5B" w:rsidRDefault="00090C5B" w:rsidP="00073A42">
            <w:pPr>
              <w:spacing w:after="0"/>
              <w:rPr>
                <w:rFonts w:ascii="Times New Roman" w:hAnsi="Times New Roman" w:cs="Times New Roman"/>
                <w:sz w:val="24"/>
                <w:szCs w:val="24"/>
              </w:rPr>
            </w:pPr>
          </w:p>
        </w:tc>
        <w:tc>
          <w:tcPr>
            <w:tcW w:w="5073"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734082BB"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GPCOG patient subdomain &gt;5 </w:t>
            </w:r>
          </w:p>
        </w:tc>
      </w:tr>
      <w:tr w:rsidR="00090C5B" w14:paraId="6E57A267" w14:textId="77777777" w:rsidTr="00073A42">
        <w:trPr>
          <w:trHeight w:val="31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C0FE9F1" w14:textId="77777777" w:rsidR="00090C5B" w:rsidRDefault="00090C5B" w:rsidP="00073A42">
            <w:pPr>
              <w:spacing w:after="0"/>
              <w:rPr>
                <w:rFonts w:ascii="Times New Roman" w:hAnsi="Times New Roman" w:cs="Times New Roman"/>
                <w:sz w:val="24"/>
                <w:szCs w:val="24"/>
              </w:rPr>
            </w:pPr>
          </w:p>
        </w:tc>
        <w:tc>
          <w:tcPr>
            <w:tcW w:w="5073"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798E9784"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ACE &lt; 88 </w:t>
            </w:r>
          </w:p>
        </w:tc>
      </w:tr>
      <w:tr w:rsidR="00090C5B" w14:paraId="1CA0D31E" w14:textId="77777777" w:rsidTr="00073A42">
        <w:trPr>
          <w:trHeight w:val="31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2FE4893" w14:textId="77777777" w:rsidR="00090C5B" w:rsidRDefault="00090C5B" w:rsidP="00073A42">
            <w:pPr>
              <w:spacing w:after="0"/>
              <w:rPr>
                <w:rFonts w:ascii="Times New Roman" w:hAnsi="Times New Roman" w:cs="Times New Roman"/>
                <w:sz w:val="24"/>
                <w:szCs w:val="24"/>
              </w:rPr>
            </w:pPr>
          </w:p>
        </w:tc>
        <w:tc>
          <w:tcPr>
            <w:tcW w:w="5073"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6032EC51"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 xml:space="preserve">HMSE &lt; 27 </w:t>
            </w:r>
          </w:p>
        </w:tc>
      </w:tr>
      <w:tr w:rsidR="00090C5B" w14:paraId="4AF20FE2" w14:textId="77777777" w:rsidTr="00073A42">
        <w:trPr>
          <w:trHeight w:val="31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0CFEAC2" w14:textId="77777777" w:rsidR="00090C5B" w:rsidRDefault="00090C5B" w:rsidP="00073A42">
            <w:pPr>
              <w:spacing w:after="0"/>
              <w:rPr>
                <w:rFonts w:ascii="Times New Roman" w:hAnsi="Times New Roman" w:cs="Times New Roman"/>
                <w:sz w:val="24"/>
                <w:szCs w:val="24"/>
              </w:rPr>
            </w:pPr>
          </w:p>
        </w:tc>
        <w:tc>
          <w:tcPr>
            <w:tcW w:w="5073"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236DEB8C"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Clinician’s assessment based on sub scores of ACE/HMSE/GPCOG patient</w:t>
            </w:r>
          </w:p>
        </w:tc>
      </w:tr>
      <w:tr w:rsidR="00090C5B" w14:paraId="5D57552C" w14:textId="77777777" w:rsidTr="00073A42">
        <w:trPr>
          <w:trHeight w:val="315"/>
        </w:trPr>
        <w:tc>
          <w:tcPr>
            <w:tcW w:w="0" w:type="auto"/>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43582984"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Preservation of independence in functional abilities</w:t>
            </w:r>
          </w:p>
        </w:tc>
        <w:tc>
          <w:tcPr>
            <w:tcW w:w="5073"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283D93AE"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IADL (average of finances, shopping, phone and meal preparation &lt;0.5)</w:t>
            </w:r>
          </w:p>
        </w:tc>
      </w:tr>
      <w:tr w:rsidR="00090C5B" w14:paraId="76BBBAE4" w14:textId="77777777" w:rsidTr="00073A42">
        <w:trPr>
          <w:trHeight w:val="315"/>
        </w:trPr>
        <w:tc>
          <w:tcPr>
            <w:tcW w:w="0" w:type="auto"/>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7A6B6674"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Not demented</w:t>
            </w:r>
          </w:p>
        </w:tc>
        <w:tc>
          <w:tcPr>
            <w:tcW w:w="5073"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05465872"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CDR total score (&lt;1)</w:t>
            </w:r>
          </w:p>
        </w:tc>
      </w:tr>
      <w:tr w:rsidR="00090C5B" w14:paraId="7AA2CF92" w14:textId="77777777" w:rsidTr="00073A42">
        <w:trPr>
          <w:trHeight w:val="315"/>
        </w:trPr>
        <w:tc>
          <w:tcPr>
            <w:tcW w:w="0" w:type="auto"/>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1AFDC6D9"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Longitudinal decline in performance over repeated measures</w:t>
            </w:r>
          </w:p>
        </w:tc>
        <w:tc>
          <w:tcPr>
            <w:tcW w:w="5073" w:type="dxa"/>
            <w:tcBorders>
              <w:top w:val="single" w:sz="12" w:space="0" w:color="auto"/>
              <w:left w:val="single" w:sz="12" w:space="0" w:color="auto"/>
              <w:bottom w:val="single" w:sz="12" w:space="0" w:color="auto"/>
              <w:right w:val="single" w:sz="12" w:space="0" w:color="auto"/>
            </w:tcBorders>
            <w:tcMar>
              <w:top w:w="30" w:type="dxa"/>
              <w:left w:w="45" w:type="dxa"/>
              <w:bottom w:w="30" w:type="dxa"/>
              <w:right w:w="45" w:type="dxa"/>
            </w:tcMar>
            <w:vAlign w:val="center"/>
            <w:hideMark/>
          </w:tcPr>
          <w:p w14:paraId="14C23CCA" w14:textId="77777777" w:rsidR="00090C5B" w:rsidRDefault="00090C5B" w:rsidP="00073A42">
            <w:pPr>
              <w:spacing w:line="276" w:lineRule="auto"/>
              <w:rPr>
                <w:rFonts w:ascii="Times New Roman" w:hAnsi="Times New Roman" w:cs="Times New Roman"/>
                <w:sz w:val="24"/>
                <w:szCs w:val="24"/>
              </w:rPr>
            </w:pPr>
            <w:r>
              <w:rPr>
                <w:rFonts w:ascii="Times New Roman" w:hAnsi="Times New Roman" w:cs="Times New Roman"/>
                <w:sz w:val="24"/>
                <w:szCs w:val="24"/>
              </w:rPr>
              <w:t>‘Yes’ for question no. 4</w:t>
            </w:r>
            <w:r>
              <w:rPr>
                <w:rFonts w:ascii="Times New Roman" w:hAnsi="Times New Roman" w:cs="Times New Roman"/>
                <w:sz w:val="24"/>
                <w:szCs w:val="24"/>
                <w:vertAlign w:val="superscript"/>
              </w:rPr>
              <w:t>1</w:t>
            </w:r>
            <w:r>
              <w:rPr>
                <w:rFonts w:ascii="Times New Roman" w:hAnsi="Times New Roman" w:cs="Times New Roman"/>
                <w:sz w:val="24"/>
                <w:szCs w:val="24"/>
              </w:rPr>
              <w:t xml:space="preserve"> of CDR informant: memory subdomain </w:t>
            </w:r>
            <w:r>
              <w:rPr>
                <w:rFonts w:ascii="Times New Roman" w:hAnsi="Times New Roman" w:cs="Times New Roman"/>
                <w:b/>
                <w:sz w:val="24"/>
                <w:szCs w:val="24"/>
              </w:rPr>
              <w:t>or</w:t>
            </w:r>
            <w:r>
              <w:rPr>
                <w:rFonts w:ascii="Times New Roman" w:hAnsi="Times New Roman" w:cs="Times New Roman"/>
                <w:sz w:val="24"/>
                <w:szCs w:val="24"/>
              </w:rPr>
              <w:t xml:space="preserve"> clinician assessment</w:t>
            </w:r>
          </w:p>
        </w:tc>
      </w:tr>
    </w:tbl>
    <w:p w14:paraId="53020B19" w14:textId="77777777" w:rsidR="00090C5B" w:rsidRDefault="00090C5B" w:rsidP="00090C5B">
      <w:pPr>
        <w:spacing w:after="0" w:line="276" w:lineRule="auto"/>
        <w:jc w:val="both"/>
        <w:rPr>
          <w:vertAlign w:val="superscript"/>
        </w:rPr>
      </w:pPr>
    </w:p>
    <w:p w14:paraId="1070B00D" w14:textId="77777777" w:rsidR="00090C5B" w:rsidRDefault="00090C5B" w:rsidP="00090C5B">
      <w:pPr>
        <w:spacing w:after="0" w:line="276" w:lineRule="auto"/>
        <w:jc w:val="both"/>
      </w:pPr>
      <w:r>
        <w:rPr>
          <w:vertAlign w:val="superscript"/>
        </w:rPr>
        <w:t>1</w:t>
      </w:r>
      <w:r>
        <w:t xml:space="preserve">Q4: Have there been some decline in memory in the past one year? </w:t>
      </w:r>
      <w:r>
        <w:fldChar w:fldCharType="begin"/>
      </w:r>
      <w:r>
        <w:instrText xml:space="preserve"> ADDIN ZOTERO_ITEM CSL_CITATION {"citationID":"HpI4Vxki","properties":{"formattedCitation":"(Hughes et al., 1982; Morris, 1993)","plainCitation":"(Hughes et al., 1982; Morris, 1993)","noteIndex":0},"citationItems":[{"id":3534,"uris":["http://zotero.org/groups/2433117/items/MZ7BNA9P"],"uri":["http://zotero.org/groups/2433117/items/MZ7BNA9P"],"itemData":{"id":3534,"type":"article-journal","abstract":"Accurate clinical staging of dementia in older subjects has not previously been achieved despite the use of such methods as psychometric testing, behavioural rating, and various combinations of simpler psychometric and behavioural evaluations. The Clinical Dementia Rating (CRD), a global rating device, was developed for a prospective study of mild senile dementia—Alzheimer type (SDAT). Reliability, validity, and correlational data are discussed. The CDR was found to distinguish unambiguously among older subjects with a wide range of cognitive function, from healthy to severely impaired.","container-title":"The British Journal of Psychiatry","DOI":"10.1192/bjp.140.6.566","ISSN":"0007-1250, 1472-1465","issue":"6","language":"en","note":"publisher: Cambridge University Press","page":"566-572","source":"Cambridge University Press","title":"A New Clinical Scale for the Staging of Dementia","volume":"140","author":[{"family":"Hughes","given":"Charles P."},{"family":"Berg","given":"Leonard"},{"family":"Danziger","given":"Warren"},{"family":"Coben","given":"Lawrence A."},{"family":"Martin","given":"Ronald L."}],"issued":{"date-parts":[["1982",6]]}}},{"id":3473,"uris":["http://zotero.org/groups/2433117/items/DQ8HMIGY"],"uri":["http://zotero.org/groups/2433117/items/DQ8HMIGY"],"itemData":{"id":3473,"type":"article-journal","container-title":"Neurology","DOI":"10.1212/WNL.43.11.2412-a","ISSN":"0028-3878, 1526-632X","issue":"11","language":"en","page":"2412-2412","source":"Crossref","title":"The Clinical Dementia Rating (CDR): Current version and scoring rules","title-short":"The Clinical Dementia Rating (CDR)","volume":"43","author":[{"family":"Morris","given":"J. C."}],"issued":{"date-parts":[["1993",11,1]]}}}],"schema":"https://github.com/citation-style-language/schema/raw/master/csl-citation.json"} </w:instrText>
      </w:r>
      <w:r>
        <w:fldChar w:fldCharType="separate"/>
      </w:r>
      <w:r w:rsidRPr="00830763">
        <w:rPr>
          <w:rFonts w:ascii="Calibri" w:hAnsi="Calibri"/>
        </w:rPr>
        <w:t>(Hughes et al., 1982; Morris, 1993)</w:t>
      </w:r>
      <w:r>
        <w:fldChar w:fldCharType="end"/>
      </w:r>
    </w:p>
    <w:p w14:paraId="4E1EA0C3" w14:textId="77777777" w:rsidR="00090C5B" w:rsidRPr="00B4257D" w:rsidRDefault="00090C5B" w:rsidP="00090C5B">
      <w:pPr>
        <w:spacing w:after="0" w:line="276" w:lineRule="auto"/>
        <w:jc w:val="both"/>
      </w:pPr>
      <w:r>
        <w:t>Abbreviations are as described in Supplementary Table 1.</w:t>
      </w:r>
    </w:p>
    <w:p w14:paraId="080A41F8" w14:textId="77777777" w:rsidR="00090C5B" w:rsidRDefault="00090C5B" w:rsidP="00090C5B"/>
    <w:p w14:paraId="0C917481" w14:textId="77777777" w:rsidR="00090C5B" w:rsidRPr="00BA21AD" w:rsidRDefault="00090C5B" w:rsidP="00090C5B">
      <w:pPr>
        <w:rPr>
          <w:rFonts w:ascii="Times New Roman" w:hAnsi="Times New Roman" w:cs="Times New Roman"/>
          <w:b/>
          <w:bCs/>
          <w:sz w:val="24"/>
          <w:szCs w:val="24"/>
        </w:rPr>
      </w:pPr>
    </w:p>
    <w:p w14:paraId="5363BD05" w14:textId="77777777" w:rsidR="008F018F" w:rsidRDefault="008F018F"/>
    <w:sectPr w:rsidR="008F018F" w:rsidSect="00AF4B49">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83B7" w14:textId="77777777" w:rsidR="005A165F" w:rsidRDefault="005A165F">
      <w:pPr>
        <w:spacing w:after="0" w:line="240" w:lineRule="auto"/>
      </w:pPr>
      <w:r>
        <w:separator/>
      </w:r>
    </w:p>
  </w:endnote>
  <w:endnote w:type="continuationSeparator" w:id="0">
    <w:p w14:paraId="00E08066" w14:textId="77777777" w:rsidR="005A165F" w:rsidRDefault="005A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156188"/>
      <w:docPartObj>
        <w:docPartGallery w:val="Page Numbers (Bottom of Page)"/>
        <w:docPartUnique/>
      </w:docPartObj>
    </w:sdtPr>
    <w:sdtEndPr/>
    <w:sdtContent>
      <w:sdt>
        <w:sdtPr>
          <w:id w:val="-1769616900"/>
          <w:docPartObj>
            <w:docPartGallery w:val="Page Numbers (Top of Page)"/>
            <w:docPartUnique/>
          </w:docPartObj>
        </w:sdtPr>
        <w:sdtEndPr/>
        <w:sdtContent>
          <w:p w14:paraId="432F2F30" w14:textId="77777777" w:rsidR="00067400" w:rsidRDefault="00090C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32125E" w14:textId="77777777" w:rsidR="00067400" w:rsidRDefault="005A1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B659" w14:textId="77777777" w:rsidR="005A165F" w:rsidRDefault="005A165F">
      <w:pPr>
        <w:spacing w:after="0" w:line="240" w:lineRule="auto"/>
      </w:pPr>
      <w:r>
        <w:separator/>
      </w:r>
    </w:p>
  </w:footnote>
  <w:footnote w:type="continuationSeparator" w:id="0">
    <w:p w14:paraId="0FB42A73" w14:textId="77777777" w:rsidR="005A165F" w:rsidRDefault="005A1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5A7A"/>
    <w:multiLevelType w:val="hybridMultilevel"/>
    <w:tmpl w:val="AB70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1C7DF6"/>
    <w:multiLevelType w:val="hybridMultilevel"/>
    <w:tmpl w:val="2C28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CF60B1"/>
    <w:multiLevelType w:val="hybridMultilevel"/>
    <w:tmpl w:val="77905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F93211"/>
    <w:multiLevelType w:val="hybridMultilevel"/>
    <w:tmpl w:val="EE724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614ED2"/>
    <w:multiLevelType w:val="hybridMultilevel"/>
    <w:tmpl w:val="4666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5B"/>
    <w:rsid w:val="00090C5B"/>
    <w:rsid w:val="003F5E99"/>
    <w:rsid w:val="004E7850"/>
    <w:rsid w:val="005A0FA1"/>
    <w:rsid w:val="005A165F"/>
    <w:rsid w:val="005A58B2"/>
    <w:rsid w:val="007908E3"/>
    <w:rsid w:val="008F018F"/>
    <w:rsid w:val="009A1C77"/>
    <w:rsid w:val="00BB640D"/>
    <w:rsid w:val="00BE5149"/>
    <w:rsid w:val="00C8257E"/>
    <w:rsid w:val="00CB185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9F9E"/>
  <w15:chartTrackingRefBased/>
  <w15:docId w15:val="{79F21897-083E-47A6-B00C-D2041BDE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C5B"/>
    <w:pPr>
      <w:spacing w:line="256" w:lineRule="auto"/>
      <w:ind w:left="720"/>
      <w:contextualSpacing/>
    </w:pPr>
  </w:style>
  <w:style w:type="paragraph" w:styleId="Footer">
    <w:name w:val="footer"/>
    <w:basedOn w:val="Normal"/>
    <w:link w:val="FooterChar"/>
    <w:uiPriority w:val="99"/>
    <w:unhideWhenUsed/>
    <w:rsid w:val="0009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C5B"/>
  </w:style>
  <w:style w:type="character" w:styleId="LineNumber">
    <w:name w:val="line number"/>
    <w:basedOn w:val="DefaultParagraphFont"/>
    <w:uiPriority w:val="99"/>
    <w:semiHidden/>
    <w:unhideWhenUsed/>
    <w:rsid w:val="0009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4638</Words>
  <Characters>26440</Characters>
  <Application>Microsoft Office Word</Application>
  <DocSecurity>0</DocSecurity>
  <Lines>220</Lines>
  <Paragraphs>62</Paragraphs>
  <ScaleCrop>false</ScaleCrop>
  <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MurtyDinavahi</dc:creator>
  <cp:keywords/>
  <dc:description/>
  <cp:lastModifiedBy>Murty V P S Dinavahi</cp:lastModifiedBy>
  <cp:revision>4</cp:revision>
  <dcterms:created xsi:type="dcterms:W3CDTF">2021-02-03T17:53:00Z</dcterms:created>
  <dcterms:modified xsi:type="dcterms:W3CDTF">2021-06-24T22:12:00Z</dcterms:modified>
</cp:coreProperties>
</file>