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22DBB" w14:textId="77777777" w:rsidR="00EB62E5" w:rsidRDefault="00EB62E5" w:rsidP="00EB62E5">
      <w:pPr>
        <w:pBdr>
          <w:bottom w:val="none" w:sz="0" w:space="0" w:color="auto"/>
        </w:pBdr>
        <w:spacing w:line="360" w:lineRule="auto"/>
        <w:jc w:val="center"/>
        <w:rPr>
          <w:b/>
          <w:bCs/>
          <w:sz w:val="22"/>
          <w:szCs w:val="22"/>
          <w:highlight w:val="yellow"/>
        </w:rPr>
      </w:pPr>
    </w:p>
    <w:tbl>
      <w:tblPr>
        <w:tblpPr w:leftFromText="180" w:rightFromText="180" w:horzAnchor="margin" w:tblpXSpec="center" w:tblpY="535"/>
        <w:tblW w:w="11602" w:type="dxa"/>
        <w:tblLayout w:type="fixed"/>
        <w:tblLook w:val="0000" w:firstRow="0" w:lastRow="0" w:firstColumn="0" w:lastColumn="0" w:noHBand="0" w:noVBand="0"/>
      </w:tblPr>
      <w:tblGrid>
        <w:gridCol w:w="1760"/>
        <w:gridCol w:w="1300"/>
        <w:gridCol w:w="1300"/>
        <w:gridCol w:w="1122"/>
        <w:gridCol w:w="1620"/>
        <w:gridCol w:w="1358"/>
        <w:gridCol w:w="1500"/>
        <w:gridCol w:w="1642"/>
      </w:tblGrid>
      <w:tr w:rsidR="00EB62E5" w14:paraId="172E3BC2" w14:textId="77777777" w:rsidTr="00EB62E5">
        <w:tblPrEx>
          <w:tblCellMar>
            <w:top w:w="0" w:type="dxa"/>
            <w:bottom w:w="0" w:type="dxa"/>
          </w:tblCellMar>
        </w:tblPrEx>
        <w:trPr>
          <w:trHeight w:val="300"/>
        </w:trPr>
        <w:tc>
          <w:tcPr>
            <w:tcW w:w="1760" w:type="dxa"/>
            <w:tcBorders>
              <w:top w:val="single" w:sz="6" w:space="0" w:color="FFFFFF"/>
              <w:left w:val="single" w:sz="6" w:space="0" w:color="FFFFFF"/>
              <w:bottom w:val="single" w:sz="6" w:space="0" w:color="FFFFFF"/>
              <w:right w:val="single" w:sz="6" w:space="0" w:color="FFFFFF"/>
            </w:tcBorders>
          </w:tcPr>
          <w:p w14:paraId="4748C0DC"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300" w:type="dxa"/>
            <w:tcBorders>
              <w:top w:val="single" w:sz="6" w:space="0" w:color="FFFFFF"/>
              <w:left w:val="single" w:sz="6" w:space="0" w:color="FFFFFF"/>
              <w:bottom w:val="single" w:sz="6" w:space="0" w:color="auto"/>
              <w:right w:val="single" w:sz="6" w:space="0" w:color="auto"/>
            </w:tcBorders>
          </w:tcPr>
          <w:p w14:paraId="4D1B9342"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2422" w:type="dxa"/>
            <w:gridSpan w:val="2"/>
            <w:tcBorders>
              <w:top w:val="single" w:sz="6" w:space="0" w:color="auto"/>
              <w:left w:val="single" w:sz="6" w:space="0" w:color="auto"/>
              <w:bottom w:val="nil"/>
              <w:right w:val="single" w:sz="6" w:space="0" w:color="auto"/>
            </w:tcBorders>
          </w:tcPr>
          <w:p w14:paraId="35ED34ED"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Training error</w:t>
            </w:r>
          </w:p>
        </w:tc>
        <w:tc>
          <w:tcPr>
            <w:tcW w:w="1620" w:type="dxa"/>
            <w:tcBorders>
              <w:top w:val="single" w:sz="6" w:space="0" w:color="auto"/>
              <w:left w:val="single" w:sz="6" w:space="0" w:color="auto"/>
              <w:bottom w:val="single" w:sz="6" w:space="0" w:color="auto"/>
              <w:right w:val="single" w:sz="6" w:space="0" w:color="000000"/>
            </w:tcBorders>
          </w:tcPr>
          <w:p w14:paraId="6B46B076"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Wilcoxon test</w:t>
            </w:r>
          </w:p>
        </w:tc>
        <w:tc>
          <w:tcPr>
            <w:tcW w:w="2858" w:type="dxa"/>
            <w:gridSpan w:val="2"/>
            <w:tcBorders>
              <w:top w:val="single" w:sz="6" w:space="0" w:color="auto"/>
              <w:left w:val="single" w:sz="6" w:space="0" w:color="auto"/>
              <w:bottom w:val="nil"/>
              <w:right w:val="single" w:sz="6" w:space="0" w:color="auto"/>
            </w:tcBorders>
          </w:tcPr>
          <w:p w14:paraId="11EC9748"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Streaming prediction error</w:t>
            </w:r>
          </w:p>
        </w:tc>
        <w:tc>
          <w:tcPr>
            <w:tcW w:w="1642" w:type="dxa"/>
            <w:tcBorders>
              <w:top w:val="single" w:sz="6" w:space="0" w:color="auto"/>
              <w:left w:val="single" w:sz="6" w:space="0" w:color="auto"/>
              <w:bottom w:val="single" w:sz="6" w:space="0" w:color="auto"/>
              <w:right w:val="single" w:sz="6" w:space="0" w:color="000000"/>
            </w:tcBorders>
          </w:tcPr>
          <w:p w14:paraId="55E3973F"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Wilcoxon test</w:t>
            </w:r>
          </w:p>
        </w:tc>
      </w:tr>
      <w:tr w:rsidR="00EB62E5" w14:paraId="6F98DBA2" w14:textId="77777777" w:rsidTr="00EB62E5">
        <w:tblPrEx>
          <w:tblCellMar>
            <w:top w:w="0" w:type="dxa"/>
            <w:bottom w:w="0" w:type="dxa"/>
          </w:tblCellMar>
        </w:tblPrEx>
        <w:trPr>
          <w:trHeight w:val="300"/>
        </w:trPr>
        <w:tc>
          <w:tcPr>
            <w:tcW w:w="1760" w:type="dxa"/>
            <w:tcBorders>
              <w:top w:val="nil"/>
              <w:left w:val="single" w:sz="6" w:space="0" w:color="FFFFFF"/>
              <w:bottom w:val="nil"/>
              <w:right w:val="nil"/>
            </w:tcBorders>
          </w:tcPr>
          <w:p w14:paraId="63B73C38"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300" w:type="dxa"/>
            <w:tcBorders>
              <w:top w:val="single" w:sz="6" w:space="0" w:color="auto"/>
              <w:left w:val="single" w:sz="6" w:space="0" w:color="auto"/>
              <w:bottom w:val="nil"/>
              <w:right w:val="single" w:sz="6" w:space="0" w:color="auto"/>
            </w:tcBorders>
          </w:tcPr>
          <w:p w14:paraId="078E19C6"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Model</w:t>
            </w:r>
          </w:p>
        </w:tc>
        <w:tc>
          <w:tcPr>
            <w:tcW w:w="1300" w:type="dxa"/>
            <w:tcBorders>
              <w:top w:val="single" w:sz="6" w:space="0" w:color="auto"/>
              <w:left w:val="single" w:sz="6" w:space="0" w:color="auto"/>
              <w:bottom w:val="nil"/>
              <w:right w:val="nil"/>
            </w:tcBorders>
          </w:tcPr>
          <w:p w14:paraId="717F63D8"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Median</w:t>
            </w:r>
          </w:p>
        </w:tc>
        <w:tc>
          <w:tcPr>
            <w:tcW w:w="1122" w:type="dxa"/>
            <w:tcBorders>
              <w:top w:val="single" w:sz="6" w:space="0" w:color="auto"/>
              <w:left w:val="single" w:sz="6" w:space="0" w:color="auto"/>
              <w:bottom w:val="nil"/>
              <w:right w:val="single" w:sz="6" w:space="0" w:color="auto"/>
            </w:tcBorders>
          </w:tcPr>
          <w:p w14:paraId="3F264809"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roofErr w:type="spellStart"/>
            <w:r>
              <w:rPr>
                <w:rFonts w:ascii="Calibri" w:eastAsiaTheme="minorHAnsi" w:hAnsi="Calibri" w:cs="Calibri"/>
                <w:color w:val="000000"/>
              </w:rPr>
              <w:t>iqr</w:t>
            </w:r>
            <w:proofErr w:type="spellEnd"/>
            <w:r>
              <w:rPr>
                <w:rFonts w:ascii="Calibri" w:eastAsiaTheme="minorHAnsi" w:hAnsi="Calibri" w:cs="Calibri"/>
                <w:color w:val="000000"/>
              </w:rPr>
              <w:t xml:space="preserve"> </w:t>
            </w:r>
          </w:p>
        </w:tc>
        <w:tc>
          <w:tcPr>
            <w:tcW w:w="1620" w:type="dxa"/>
            <w:tcBorders>
              <w:top w:val="single" w:sz="6" w:space="0" w:color="auto"/>
              <w:left w:val="single" w:sz="6" w:space="0" w:color="auto"/>
              <w:bottom w:val="nil"/>
              <w:right w:val="single" w:sz="6" w:space="0" w:color="auto"/>
            </w:tcBorders>
          </w:tcPr>
          <w:p w14:paraId="3AA650C5"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p value</w:t>
            </w:r>
          </w:p>
        </w:tc>
        <w:tc>
          <w:tcPr>
            <w:tcW w:w="1358" w:type="dxa"/>
            <w:tcBorders>
              <w:top w:val="single" w:sz="6" w:space="0" w:color="auto"/>
              <w:left w:val="single" w:sz="6" w:space="0" w:color="auto"/>
              <w:bottom w:val="nil"/>
              <w:right w:val="nil"/>
            </w:tcBorders>
          </w:tcPr>
          <w:p w14:paraId="197564B2"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Median</w:t>
            </w:r>
          </w:p>
        </w:tc>
        <w:tc>
          <w:tcPr>
            <w:tcW w:w="1500" w:type="dxa"/>
            <w:tcBorders>
              <w:top w:val="single" w:sz="6" w:space="0" w:color="auto"/>
              <w:left w:val="single" w:sz="6" w:space="0" w:color="auto"/>
              <w:bottom w:val="nil"/>
              <w:right w:val="single" w:sz="6" w:space="0" w:color="auto"/>
            </w:tcBorders>
          </w:tcPr>
          <w:p w14:paraId="47A4ACF2"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roofErr w:type="spellStart"/>
            <w:r>
              <w:rPr>
                <w:rFonts w:ascii="Calibri" w:eastAsiaTheme="minorHAnsi" w:hAnsi="Calibri" w:cs="Calibri"/>
                <w:color w:val="000000"/>
              </w:rPr>
              <w:t>iqr</w:t>
            </w:r>
            <w:proofErr w:type="spellEnd"/>
            <w:r>
              <w:rPr>
                <w:rFonts w:ascii="Calibri" w:eastAsiaTheme="minorHAnsi" w:hAnsi="Calibri" w:cs="Calibri"/>
                <w:color w:val="000000"/>
              </w:rPr>
              <w:t xml:space="preserve"> </w:t>
            </w:r>
          </w:p>
        </w:tc>
        <w:tc>
          <w:tcPr>
            <w:tcW w:w="1642" w:type="dxa"/>
            <w:tcBorders>
              <w:top w:val="single" w:sz="6" w:space="0" w:color="auto"/>
              <w:left w:val="single" w:sz="6" w:space="0" w:color="auto"/>
              <w:bottom w:val="nil"/>
              <w:right w:val="single" w:sz="6" w:space="0" w:color="auto"/>
            </w:tcBorders>
          </w:tcPr>
          <w:p w14:paraId="138BA72B"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p value</w:t>
            </w:r>
          </w:p>
        </w:tc>
      </w:tr>
      <w:tr w:rsidR="00EB62E5" w14:paraId="0E56CA19" w14:textId="77777777" w:rsidTr="00EB62E5">
        <w:tblPrEx>
          <w:tblCellMar>
            <w:top w:w="0" w:type="dxa"/>
            <w:bottom w:w="0" w:type="dxa"/>
          </w:tblCellMar>
        </w:tblPrEx>
        <w:trPr>
          <w:trHeight w:val="300"/>
        </w:trPr>
        <w:tc>
          <w:tcPr>
            <w:tcW w:w="1760" w:type="dxa"/>
            <w:vMerge w:val="restart"/>
            <w:tcBorders>
              <w:top w:val="single" w:sz="12" w:space="0" w:color="000000"/>
              <w:left w:val="single" w:sz="12" w:space="0" w:color="000000"/>
              <w:right w:val="single" w:sz="6" w:space="0" w:color="000000"/>
            </w:tcBorders>
            <w:vAlign w:val="center"/>
          </w:tcPr>
          <w:p w14:paraId="562ECCD6" w14:textId="40440AC6"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Recency model</w:t>
            </w:r>
            <w:r>
              <w:rPr>
                <w:rFonts w:ascii="Calibri" w:eastAsiaTheme="minorHAnsi" w:hAnsi="Calibri" w:cs="Calibri"/>
                <w:color w:val="000000"/>
              </w:rPr>
              <w:br/>
              <w:t>simulation</w:t>
            </w:r>
          </w:p>
        </w:tc>
        <w:tc>
          <w:tcPr>
            <w:tcW w:w="1300" w:type="dxa"/>
            <w:tcBorders>
              <w:top w:val="single" w:sz="12" w:space="0" w:color="000000"/>
              <w:left w:val="single" w:sz="6" w:space="0" w:color="000000"/>
              <w:bottom w:val="nil"/>
              <w:right w:val="single" w:sz="6" w:space="0" w:color="auto"/>
            </w:tcBorders>
          </w:tcPr>
          <w:p w14:paraId="5C7518AA"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Primacy</w:t>
            </w:r>
          </w:p>
        </w:tc>
        <w:tc>
          <w:tcPr>
            <w:tcW w:w="1300" w:type="dxa"/>
            <w:tcBorders>
              <w:top w:val="single" w:sz="12" w:space="0" w:color="000000"/>
              <w:left w:val="single" w:sz="6" w:space="0" w:color="auto"/>
              <w:bottom w:val="nil"/>
              <w:right w:val="single" w:sz="6" w:space="0" w:color="auto"/>
            </w:tcBorders>
          </w:tcPr>
          <w:p w14:paraId="13401351"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0.0067</w:t>
            </w:r>
          </w:p>
        </w:tc>
        <w:tc>
          <w:tcPr>
            <w:tcW w:w="1122" w:type="dxa"/>
            <w:tcBorders>
              <w:top w:val="single" w:sz="12" w:space="0" w:color="000000"/>
              <w:left w:val="single" w:sz="6" w:space="0" w:color="auto"/>
              <w:bottom w:val="nil"/>
              <w:right w:val="single" w:sz="6" w:space="0" w:color="auto"/>
            </w:tcBorders>
          </w:tcPr>
          <w:p w14:paraId="1C31D0F0"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0.0028</w:t>
            </w:r>
          </w:p>
        </w:tc>
        <w:tc>
          <w:tcPr>
            <w:tcW w:w="1620" w:type="dxa"/>
            <w:vMerge w:val="restart"/>
            <w:tcBorders>
              <w:top w:val="single" w:sz="12" w:space="0" w:color="000000"/>
              <w:left w:val="single" w:sz="6" w:space="0" w:color="auto"/>
              <w:right w:val="single" w:sz="6" w:space="0" w:color="000000"/>
            </w:tcBorders>
            <w:vAlign w:val="center"/>
          </w:tcPr>
          <w:p w14:paraId="3E2937BE"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1.70E-06</w:t>
            </w:r>
          </w:p>
        </w:tc>
        <w:tc>
          <w:tcPr>
            <w:tcW w:w="1358" w:type="dxa"/>
            <w:tcBorders>
              <w:top w:val="single" w:sz="12" w:space="0" w:color="000000"/>
              <w:left w:val="nil"/>
              <w:bottom w:val="nil"/>
              <w:right w:val="single" w:sz="6" w:space="0" w:color="auto"/>
            </w:tcBorders>
            <w:vAlign w:val="center"/>
          </w:tcPr>
          <w:p w14:paraId="4E4C4279"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0.0091</w:t>
            </w:r>
          </w:p>
        </w:tc>
        <w:tc>
          <w:tcPr>
            <w:tcW w:w="1500" w:type="dxa"/>
            <w:tcBorders>
              <w:top w:val="single" w:sz="12" w:space="0" w:color="000000"/>
              <w:left w:val="single" w:sz="6" w:space="0" w:color="auto"/>
              <w:bottom w:val="nil"/>
              <w:right w:val="single" w:sz="6" w:space="0" w:color="auto"/>
            </w:tcBorders>
            <w:vAlign w:val="center"/>
          </w:tcPr>
          <w:p w14:paraId="5E9EFC9D"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0.0017</w:t>
            </w:r>
          </w:p>
        </w:tc>
        <w:tc>
          <w:tcPr>
            <w:tcW w:w="1642" w:type="dxa"/>
            <w:vMerge w:val="restart"/>
            <w:tcBorders>
              <w:top w:val="single" w:sz="12" w:space="0" w:color="000000"/>
              <w:left w:val="single" w:sz="6" w:space="0" w:color="auto"/>
              <w:right w:val="single" w:sz="12" w:space="0" w:color="000000"/>
            </w:tcBorders>
            <w:vAlign w:val="center"/>
          </w:tcPr>
          <w:p w14:paraId="144DF904"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0.0034</w:t>
            </w:r>
          </w:p>
        </w:tc>
      </w:tr>
      <w:tr w:rsidR="00EB62E5" w14:paraId="729D1280" w14:textId="77777777" w:rsidTr="00EB62E5">
        <w:tblPrEx>
          <w:tblCellMar>
            <w:top w:w="0" w:type="dxa"/>
            <w:bottom w:w="0" w:type="dxa"/>
          </w:tblCellMar>
        </w:tblPrEx>
        <w:trPr>
          <w:trHeight w:val="320"/>
        </w:trPr>
        <w:tc>
          <w:tcPr>
            <w:tcW w:w="1760" w:type="dxa"/>
            <w:vMerge/>
            <w:tcBorders>
              <w:left w:val="single" w:sz="12" w:space="0" w:color="000000"/>
              <w:bottom w:val="nil"/>
              <w:right w:val="single" w:sz="6" w:space="0" w:color="000000"/>
            </w:tcBorders>
          </w:tcPr>
          <w:p w14:paraId="3293EB0A"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p>
        </w:tc>
        <w:tc>
          <w:tcPr>
            <w:tcW w:w="1300" w:type="dxa"/>
            <w:tcBorders>
              <w:top w:val="nil"/>
              <w:left w:val="single" w:sz="6" w:space="0" w:color="000000"/>
              <w:bottom w:val="nil"/>
              <w:right w:val="single" w:sz="6" w:space="0" w:color="auto"/>
            </w:tcBorders>
          </w:tcPr>
          <w:p w14:paraId="6FAC9CD2"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Recency</w:t>
            </w:r>
          </w:p>
        </w:tc>
        <w:tc>
          <w:tcPr>
            <w:tcW w:w="1300" w:type="dxa"/>
            <w:tcBorders>
              <w:top w:val="nil"/>
              <w:left w:val="single" w:sz="6" w:space="0" w:color="auto"/>
              <w:bottom w:val="nil"/>
              <w:right w:val="single" w:sz="6" w:space="0" w:color="auto"/>
            </w:tcBorders>
          </w:tcPr>
          <w:p w14:paraId="4C091B5A"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0.0062</w:t>
            </w:r>
          </w:p>
        </w:tc>
        <w:tc>
          <w:tcPr>
            <w:tcW w:w="1122" w:type="dxa"/>
            <w:tcBorders>
              <w:top w:val="nil"/>
              <w:left w:val="single" w:sz="6" w:space="0" w:color="auto"/>
              <w:bottom w:val="nil"/>
              <w:right w:val="single" w:sz="6" w:space="0" w:color="auto"/>
            </w:tcBorders>
          </w:tcPr>
          <w:p w14:paraId="146B174D"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0.0024</w:t>
            </w:r>
          </w:p>
        </w:tc>
        <w:tc>
          <w:tcPr>
            <w:tcW w:w="1620" w:type="dxa"/>
            <w:vMerge/>
            <w:tcBorders>
              <w:left w:val="single" w:sz="6" w:space="0" w:color="auto"/>
              <w:bottom w:val="single" w:sz="12" w:space="0" w:color="000000"/>
              <w:right w:val="single" w:sz="6" w:space="0" w:color="000000"/>
            </w:tcBorders>
            <w:vAlign w:val="center"/>
          </w:tcPr>
          <w:p w14:paraId="6B69A303"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c>
          <w:tcPr>
            <w:tcW w:w="1358" w:type="dxa"/>
            <w:tcBorders>
              <w:top w:val="nil"/>
              <w:left w:val="nil"/>
              <w:bottom w:val="nil"/>
              <w:right w:val="single" w:sz="6" w:space="0" w:color="auto"/>
            </w:tcBorders>
            <w:vAlign w:val="center"/>
          </w:tcPr>
          <w:p w14:paraId="4E9F9337"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0.0083</w:t>
            </w:r>
          </w:p>
        </w:tc>
        <w:tc>
          <w:tcPr>
            <w:tcW w:w="1500" w:type="dxa"/>
            <w:tcBorders>
              <w:top w:val="nil"/>
              <w:left w:val="single" w:sz="6" w:space="0" w:color="auto"/>
              <w:bottom w:val="nil"/>
              <w:right w:val="single" w:sz="6" w:space="0" w:color="auto"/>
            </w:tcBorders>
            <w:vAlign w:val="center"/>
          </w:tcPr>
          <w:p w14:paraId="5ADF78D3"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0.0014</w:t>
            </w:r>
          </w:p>
        </w:tc>
        <w:tc>
          <w:tcPr>
            <w:tcW w:w="1642" w:type="dxa"/>
            <w:vMerge/>
            <w:tcBorders>
              <w:left w:val="single" w:sz="6" w:space="0" w:color="auto"/>
              <w:bottom w:val="single" w:sz="12" w:space="0" w:color="000000"/>
              <w:right w:val="single" w:sz="12" w:space="0" w:color="000000"/>
            </w:tcBorders>
            <w:vAlign w:val="center"/>
          </w:tcPr>
          <w:p w14:paraId="4A2B1A4F"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r>
      <w:tr w:rsidR="00EB62E5" w14:paraId="150B3453" w14:textId="77777777" w:rsidTr="00EB62E5">
        <w:tblPrEx>
          <w:tblCellMar>
            <w:top w:w="0" w:type="dxa"/>
            <w:bottom w:w="0" w:type="dxa"/>
          </w:tblCellMar>
        </w:tblPrEx>
        <w:trPr>
          <w:trHeight w:val="300"/>
        </w:trPr>
        <w:tc>
          <w:tcPr>
            <w:tcW w:w="1760" w:type="dxa"/>
            <w:vMerge w:val="restart"/>
            <w:tcBorders>
              <w:top w:val="single" w:sz="12" w:space="0" w:color="000000"/>
              <w:left w:val="single" w:sz="12" w:space="0" w:color="000000"/>
              <w:right w:val="single" w:sz="6" w:space="0" w:color="000000"/>
            </w:tcBorders>
            <w:vAlign w:val="center"/>
          </w:tcPr>
          <w:p w14:paraId="0EDBB57C" w14:textId="27E956D4"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Primacy</w:t>
            </w:r>
            <w:r>
              <w:rPr>
                <w:rFonts w:ascii="Calibri" w:eastAsiaTheme="minorHAnsi" w:hAnsi="Calibri" w:cs="Calibri"/>
                <w:color w:val="000000"/>
              </w:rPr>
              <w:t xml:space="preserve"> model</w:t>
            </w:r>
            <w:r>
              <w:rPr>
                <w:rFonts w:ascii="Calibri" w:eastAsiaTheme="minorHAnsi" w:hAnsi="Calibri" w:cs="Calibri"/>
                <w:color w:val="000000"/>
              </w:rPr>
              <w:br/>
              <w:t>simulation</w:t>
            </w:r>
          </w:p>
        </w:tc>
        <w:tc>
          <w:tcPr>
            <w:tcW w:w="1300" w:type="dxa"/>
            <w:tcBorders>
              <w:top w:val="single" w:sz="12" w:space="0" w:color="000000"/>
              <w:left w:val="single" w:sz="6" w:space="0" w:color="000000"/>
              <w:bottom w:val="nil"/>
              <w:right w:val="single" w:sz="6" w:space="0" w:color="auto"/>
            </w:tcBorders>
          </w:tcPr>
          <w:p w14:paraId="1DCE08A0"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Primacy</w:t>
            </w:r>
          </w:p>
        </w:tc>
        <w:tc>
          <w:tcPr>
            <w:tcW w:w="1300" w:type="dxa"/>
            <w:tcBorders>
              <w:top w:val="single" w:sz="12" w:space="0" w:color="000000"/>
              <w:left w:val="single" w:sz="6" w:space="0" w:color="auto"/>
              <w:bottom w:val="nil"/>
              <w:right w:val="single" w:sz="6" w:space="0" w:color="auto"/>
            </w:tcBorders>
          </w:tcPr>
          <w:p w14:paraId="042DACE8"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0.0059</w:t>
            </w:r>
          </w:p>
        </w:tc>
        <w:tc>
          <w:tcPr>
            <w:tcW w:w="1122" w:type="dxa"/>
            <w:tcBorders>
              <w:top w:val="single" w:sz="12" w:space="0" w:color="000000"/>
              <w:left w:val="single" w:sz="6" w:space="0" w:color="auto"/>
              <w:bottom w:val="nil"/>
              <w:right w:val="single" w:sz="6" w:space="0" w:color="auto"/>
            </w:tcBorders>
          </w:tcPr>
          <w:p w14:paraId="674EFE65"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0.0019</w:t>
            </w:r>
          </w:p>
        </w:tc>
        <w:tc>
          <w:tcPr>
            <w:tcW w:w="1620" w:type="dxa"/>
            <w:vMerge w:val="restart"/>
            <w:tcBorders>
              <w:top w:val="single" w:sz="12" w:space="0" w:color="000000"/>
              <w:left w:val="single" w:sz="6" w:space="0" w:color="auto"/>
              <w:right w:val="single" w:sz="6" w:space="0" w:color="000000"/>
            </w:tcBorders>
            <w:vAlign w:val="center"/>
          </w:tcPr>
          <w:p w14:paraId="5C8258C8"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0.0014</w:t>
            </w:r>
          </w:p>
        </w:tc>
        <w:tc>
          <w:tcPr>
            <w:tcW w:w="1358" w:type="dxa"/>
            <w:tcBorders>
              <w:top w:val="single" w:sz="12" w:space="0" w:color="000000"/>
              <w:left w:val="nil"/>
              <w:bottom w:val="nil"/>
              <w:right w:val="single" w:sz="6" w:space="0" w:color="auto"/>
            </w:tcBorders>
            <w:vAlign w:val="center"/>
          </w:tcPr>
          <w:p w14:paraId="0F94E6AC"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0.0079</w:t>
            </w:r>
          </w:p>
        </w:tc>
        <w:tc>
          <w:tcPr>
            <w:tcW w:w="1500" w:type="dxa"/>
            <w:tcBorders>
              <w:top w:val="single" w:sz="12" w:space="0" w:color="000000"/>
              <w:left w:val="single" w:sz="6" w:space="0" w:color="auto"/>
              <w:bottom w:val="nil"/>
              <w:right w:val="single" w:sz="6" w:space="0" w:color="000000"/>
            </w:tcBorders>
            <w:vAlign w:val="center"/>
          </w:tcPr>
          <w:p w14:paraId="5E620B2E"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0.0022</w:t>
            </w:r>
          </w:p>
        </w:tc>
        <w:tc>
          <w:tcPr>
            <w:tcW w:w="1642" w:type="dxa"/>
            <w:vMerge w:val="restart"/>
            <w:tcBorders>
              <w:top w:val="single" w:sz="12" w:space="0" w:color="000000"/>
              <w:left w:val="nil"/>
              <w:right w:val="single" w:sz="12" w:space="0" w:color="000000"/>
            </w:tcBorders>
            <w:vAlign w:val="center"/>
          </w:tcPr>
          <w:p w14:paraId="7253D47A"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6.10E-05</w:t>
            </w:r>
          </w:p>
        </w:tc>
      </w:tr>
      <w:tr w:rsidR="00EB62E5" w14:paraId="7001448C" w14:textId="77777777" w:rsidTr="00EB62E5">
        <w:tblPrEx>
          <w:tblCellMar>
            <w:top w:w="0" w:type="dxa"/>
            <w:bottom w:w="0" w:type="dxa"/>
          </w:tblCellMar>
        </w:tblPrEx>
        <w:trPr>
          <w:trHeight w:val="320"/>
        </w:trPr>
        <w:tc>
          <w:tcPr>
            <w:tcW w:w="1760" w:type="dxa"/>
            <w:vMerge/>
            <w:tcBorders>
              <w:left w:val="single" w:sz="12" w:space="0" w:color="000000"/>
              <w:bottom w:val="single" w:sz="12" w:space="0" w:color="000000"/>
              <w:right w:val="single" w:sz="6" w:space="0" w:color="000000"/>
            </w:tcBorders>
          </w:tcPr>
          <w:p w14:paraId="69E30C1F"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300" w:type="dxa"/>
            <w:tcBorders>
              <w:top w:val="nil"/>
              <w:left w:val="single" w:sz="6" w:space="0" w:color="000000"/>
              <w:bottom w:val="single" w:sz="12" w:space="0" w:color="000000"/>
              <w:right w:val="single" w:sz="6" w:space="0" w:color="auto"/>
            </w:tcBorders>
          </w:tcPr>
          <w:p w14:paraId="4654F567" w14:textId="77777777" w:rsidR="00EB62E5" w:rsidRDefault="00EB62E5" w:rsidP="00EB62E5">
            <w:pPr>
              <w:pBdr>
                <w:bottom w:val="none" w:sz="0" w:space="0" w:color="auto"/>
              </w:pBdr>
              <w:autoSpaceDE w:val="0"/>
              <w:autoSpaceDN w:val="0"/>
              <w:adjustRightInd w:val="0"/>
              <w:spacing w:after="0" w:line="240" w:lineRule="auto"/>
              <w:rPr>
                <w:rFonts w:ascii="Calibri" w:eastAsiaTheme="minorHAnsi" w:hAnsi="Calibri" w:cs="Calibri"/>
                <w:color w:val="000000"/>
              </w:rPr>
            </w:pPr>
            <w:r>
              <w:rPr>
                <w:rFonts w:ascii="Calibri" w:eastAsiaTheme="minorHAnsi" w:hAnsi="Calibri" w:cs="Calibri"/>
                <w:color w:val="000000"/>
              </w:rPr>
              <w:t>Recency</w:t>
            </w:r>
          </w:p>
        </w:tc>
        <w:tc>
          <w:tcPr>
            <w:tcW w:w="1300" w:type="dxa"/>
            <w:tcBorders>
              <w:top w:val="nil"/>
              <w:left w:val="single" w:sz="6" w:space="0" w:color="auto"/>
              <w:bottom w:val="single" w:sz="12" w:space="0" w:color="000000"/>
              <w:right w:val="single" w:sz="6" w:space="0" w:color="auto"/>
            </w:tcBorders>
          </w:tcPr>
          <w:p w14:paraId="445738B9"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0.0067</w:t>
            </w:r>
          </w:p>
        </w:tc>
        <w:tc>
          <w:tcPr>
            <w:tcW w:w="1122" w:type="dxa"/>
            <w:tcBorders>
              <w:top w:val="nil"/>
              <w:left w:val="single" w:sz="6" w:space="0" w:color="auto"/>
              <w:bottom w:val="single" w:sz="12" w:space="0" w:color="000000"/>
              <w:right w:val="single" w:sz="6" w:space="0" w:color="auto"/>
            </w:tcBorders>
          </w:tcPr>
          <w:p w14:paraId="6127F5E9"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0.0022</w:t>
            </w:r>
          </w:p>
        </w:tc>
        <w:tc>
          <w:tcPr>
            <w:tcW w:w="1620" w:type="dxa"/>
            <w:vMerge/>
            <w:tcBorders>
              <w:left w:val="single" w:sz="6" w:space="0" w:color="auto"/>
              <w:bottom w:val="single" w:sz="12" w:space="0" w:color="000000"/>
              <w:right w:val="single" w:sz="6" w:space="0" w:color="000000"/>
            </w:tcBorders>
          </w:tcPr>
          <w:p w14:paraId="5511CA47"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c>
          <w:tcPr>
            <w:tcW w:w="1358" w:type="dxa"/>
            <w:tcBorders>
              <w:top w:val="nil"/>
              <w:left w:val="nil"/>
              <w:bottom w:val="single" w:sz="12" w:space="0" w:color="000000"/>
              <w:right w:val="single" w:sz="6" w:space="0" w:color="auto"/>
            </w:tcBorders>
          </w:tcPr>
          <w:p w14:paraId="2689EF72"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0.0096</w:t>
            </w:r>
          </w:p>
        </w:tc>
        <w:tc>
          <w:tcPr>
            <w:tcW w:w="1500" w:type="dxa"/>
            <w:tcBorders>
              <w:top w:val="nil"/>
              <w:left w:val="single" w:sz="6" w:space="0" w:color="auto"/>
              <w:bottom w:val="single" w:sz="12" w:space="0" w:color="000000"/>
              <w:right w:val="single" w:sz="6" w:space="0" w:color="auto"/>
            </w:tcBorders>
          </w:tcPr>
          <w:p w14:paraId="14B3A03D"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r>
              <w:rPr>
                <w:rFonts w:ascii="Calibri" w:eastAsiaTheme="minorHAnsi" w:hAnsi="Calibri" w:cs="Calibri"/>
                <w:color w:val="000000"/>
              </w:rPr>
              <w:t>0.0039</w:t>
            </w:r>
          </w:p>
        </w:tc>
        <w:tc>
          <w:tcPr>
            <w:tcW w:w="1642" w:type="dxa"/>
            <w:vMerge/>
            <w:tcBorders>
              <w:left w:val="nil"/>
              <w:bottom w:val="single" w:sz="12" w:space="0" w:color="000000"/>
              <w:right w:val="single" w:sz="12" w:space="0" w:color="000000"/>
            </w:tcBorders>
          </w:tcPr>
          <w:p w14:paraId="4A170400"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r>
      <w:tr w:rsidR="00EB62E5" w14:paraId="70330DB4" w14:textId="77777777" w:rsidTr="00EB62E5">
        <w:tblPrEx>
          <w:tblCellMar>
            <w:top w:w="0" w:type="dxa"/>
            <w:bottom w:w="0" w:type="dxa"/>
          </w:tblCellMar>
        </w:tblPrEx>
        <w:trPr>
          <w:trHeight w:val="300"/>
        </w:trPr>
        <w:tc>
          <w:tcPr>
            <w:tcW w:w="1760" w:type="dxa"/>
            <w:tcBorders>
              <w:top w:val="nil"/>
              <w:left w:val="nil"/>
              <w:bottom w:val="nil"/>
              <w:right w:val="nil"/>
            </w:tcBorders>
          </w:tcPr>
          <w:p w14:paraId="7BAF92CF"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300" w:type="dxa"/>
            <w:tcBorders>
              <w:top w:val="nil"/>
              <w:left w:val="nil"/>
              <w:bottom w:val="nil"/>
              <w:right w:val="nil"/>
            </w:tcBorders>
          </w:tcPr>
          <w:p w14:paraId="19A01B65"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300" w:type="dxa"/>
            <w:tcBorders>
              <w:top w:val="nil"/>
              <w:left w:val="nil"/>
              <w:bottom w:val="nil"/>
              <w:right w:val="nil"/>
            </w:tcBorders>
          </w:tcPr>
          <w:p w14:paraId="2E479F79"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c>
          <w:tcPr>
            <w:tcW w:w="1122" w:type="dxa"/>
            <w:tcBorders>
              <w:top w:val="nil"/>
              <w:left w:val="nil"/>
              <w:bottom w:val="nil"/>
              <w:right w:val="nil"/>
            </w:tcBorders>
          </w:tcPr>
          <w:p w14:paraId="0CBDBE20"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c>
          <w:tcPr>
            <w:tcW w:w="1620" w:type="dxa"/>
            <w:tcBorders>
              <w:top w:val="nil"/>
              <w:left w:val="nil"/>
              <w:bottom w:val="nil"/>
              <w:right w:val="nil"/>
            </w:tcBorders>
          </w:tcPr>
          <w:p w14:paraId="66338AF1" w14:textId="77777777" w:rsidR="00EB62E5" w:rsidRDefault="00EB62E5" w:rsidP="00EB62E5">
            <w:pPr>
              <w:pBdr>
                <w:bottom w:val="none" w:sz="0" w:space="0" w:color="auto"/>
              </w:pBdr>
              <w:autoSpaceDE w:val="0"/>
              <w:autoSpaceDN w:val="0"/>
              <w:adjustRightInd w:val="0"/>
              <w:spacing w:after="0" w:line="240" w:lineRule="auto"/>
              <w:jc w:val="center"/>
              <w:rPr>
                <w:rFonts w:ascii="Calibri" w:eastAsiaTheme="minorHAnsi" w:hAnsi="Calibri" w:cs="Calibri"/>
                <w:color w:val="000000"/>
              </w:rPr>
            </w:pPr>
          </w:p>
        </w:tc>
        <w:tc>
          <w:tcPr>
            <w:tcW w:w="1358" w:type="dxa"/>
            <w:tcBorders>
              <w:top w:val="nil"/>
              <w:left w:val="nil"/>
              <w:bottom w:val="nil"/>
              <w:right w:val="nil"/>
            </w:tcBorders>
          </w:tcPr>
          <w:p w14:paraId="62663E07"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500" w:type="dxa"/>
            <w:tcBorders>
              <w:top w:val="nil"/>
              <w:left w:val="nil"/>
              <w:bottom w:val="nil"/>
              <w:right w:val="nil"/>
            </w:tcBorders>
          </w:tcPr>
          <w:p w14:paraId="076683C3"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c>
          <w:tcPr>
            <w:tcW w:w="1642" w:type="dxa"/>
            <w:tcBorders>
              <w:top w:val="nil"/>
              <w:left w:val="nil"/>
              <w:bottom w:val="nil"/>
              <w:right w:val="nil"/>
            </w:tcBorders>
          </w:tcPr>
          <w:p w14:paraId="02D994EE" w14:textId="77777777" w:rsidR="00EB62E5" w:rsidRDefault="00EB62E5" w:rsidP="00EB62E5">
            <w:pPr>
              <w:pBdr>
                <w:bottom w:val="none" w:sz="0" w:space="0" w:color="auto"/>
              </w:pBdr>
              <w:autoSpaceDE w:val="0"/>
              <w:autoSpaceDN w:val="0"/>
              <w:adjustRightInd w:val="0"/>
              <w:spacing w:after="0" w:line="240" w:lineRule="auto"/>
              <w:jc w:val="right"/>
              <w:rPr>
                <w:rFonts w:ascii="Calibri" w:eastAsiaTheme="minorHAnsi" w:hAnsi="Calibri" w:cs="Calibri"/>
                <w:color w:val="000000"/>
              </w:rPr>
            </w:pPr>
          </w:p>
        </w:tc>
      </w:tr>
    </w:tbl>
    <w:p w14:paraId="75E8E261" w14:textId="66606D8F" w:rsidR="00EB62E5" w:rsidRPr="00EB62E5" w:rsidRDefault="00EB62E5" w:rsidP="00EB62E5">
      <w:pPr>
        <w:pBdr>
          <w:bottom w:val="none" w:sz="0" w:space="0" w:color="auto"/>
        </w:pBdr>
        <w:spacing w:line="360" w:lineRule="auto"/>
        <w:jc w:val="center"/>
        <w:rPr>
          <w:sz w:val="22"/>
          <w:szCs w:val="22"/>
        </w:rPr>
      </w:pPr>
      <w:r w:rsidRPr="00EB62E5">
        <w:rPr>
          <w:b/>
          <w:bCs/>
          <w:sz w:val="22"/>
          <w:szCs w:val="22"/>
        </w:rPr>
        <w:t>Supplementary File 1:</w:t>
      </w:r>
      <w:r w:rsidRPr="00EB62E5">
        <w:rPr>
          <w:sz w:val="22"/>
          <w:szCs w:val="22"/>
        </w:rPr>
        <w:t xml:space="preserve"> Model parameters recovery analysis: results of fitting the Primacy and Recency models</w:t>
      </w:r>
      <w:r w:rsidR="00AD16B9">
        <w:rPr>
          <w:sz w:val="22"/>
          <w:szCs w:val="22"/>
        </w:rPr>
        <w:t xml:space="preserve"> </w:t>
      </w:r>
      <w:r w:rsidRPr="00EB62E5">
        <w:rPr>
          <w:sz w:val="22"/>
          <w:szCs w:val="22"/>
        </w:rPr>
        <w:t>on simulated datasets as well as a statistical comparison between the two models in both the training errors and the streaming prediction errors. Note that only streaming prediction errors were used for model selection and we show the training errors for illustrative purposes.</w:t>
      </w:r>
    </w:p>
    <w:p w14:paraId="3A63959C" w14:textId="77777777" w:rsidR="007E3FC0" w:rsidRDefault="007E3FC0" w:rsidP="00EB62E5">
      <w:pPr>
        <w:pBdr>
          <w:bottom w:val="none" w:sz="0" w:space="0" w:color="auto"/>
        </w:pBdr>
      </w:pPr>
    </w:p>
    <w:sectPr w:rsidR="007E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E5"/>
    <w:rsid w:val="007E3FC0"/>
    <w:rsid w:val="00AD16B9"/>
    <w:rsid w:val="00EB62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3ED7"/>
  <w15:chartTrackingRefBased/>
  <w15:docId w15:val="{CBC47E64-AA2D-A14B-93AA-BE207879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E5"/>
    <w:pPr>
      <w:pBdr>
        <w:bottom w:val="single" w:sz="6" w:space="1" w:color="000000"/>
      </w:pBdr>
      <w:spacing w:after="160" w:line="480" w:lineRule="auto"/>
    </w:pPr>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5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Hanna (NIH/NIMH) [F]</dc:creator>
  <cp:keywords/>
  <dc:description/>
  <cp:lastModifiedBy>Keren, Hanna (NIH/NIMH) [F]</cp:lastModifiedBy>
  <cp:revision>2</cp:revision>
  <dcterms:created xsi:type="dcterms:W3CDTF">2021-04-14T10:57:00Z</dcterms:created>
  <dcterms:modified xsi:type="dcterms:W3CDTF">2021-04-14T11:03:00Z</dcterms:modified>
</cp:coreProperties>
</file>