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4A" w:rsidRDefault="00E80CCB">
      <w:pPr>
        <w:rPr>
          <w:sz w:val="20"/>
          <w:szCs w:val="20"/>
          <w:u w:val="single"/>
        </w:rPr>
      </w:pPr>
      <w:bookmarkStart w:id="0" w:name="_GoBack"/>
      <w:bookmarkEnd w:id="0"/>
      <w:r>
        <w:rPr>
          <w:sz w:val="20"/>
          <w:szCs w:val="20"/>
          <w:u w:val="single"/>
        </w:rPr>
        <w:t>Figure 6</w:t>
      </w: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6A – Schwann cell numbers in injured young and aged nerves, 4d cut   </w:t>
      </w:r>
    </w:p>
    <w:p w:rsidR="00947E4A" w:rsidRDefault="00947E4A">
      <w:pPr>
        <w:rPr>
          <w:sz w:val="20"/>
          <w:szCs w:val="20"/>
        </w:rPr>
      </w:pPr>
    </w:p>
    <w:tbl>
      <w:tblPr>
        <w:tblStyle w:val="a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21.39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15.77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28.79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28.74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>6B– EM macrophage density in injured young and aged nerves, 4d cut</w:t>
      </w:r>
    </w:p>
    <w:p w:rsidR="00947E4A" w:rsidRDefault="00947E4A">
      <w:pPr>
        <w:rPr>
          <w:sz w:val="20"/>
          <w:szCs w:val="20"/>
        </w:rPr>
      </w:pPr>
    </w:p>
    <w:tbl>
      <w:tblPr>
        <w:tblStyle w:val="a0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13.76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3.547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12.37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1.438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0.5636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1.247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>6C– EM macrophage numbers in injured young and aged nerves, 4d cut</w:t>
      </w:r>
    </w:p>
    <w:p w:rsidR="00947E4A" w:rsidRDefault="00947E4A">
      <w:pPr>
        <w:rPr>
          <w:sz w:val="20"/>
          <w:szCs w:val="20"/>
        </w:rPr>
      </w:pPr>
    </w:p>
    <w:tbl>
      <w:tblPr>
        <w:tblStyle w:val="a1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31.56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12.31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171.3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40.76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>6D – EM fibroblast density in injured aged nerves, 4d cut</w:t>
      </w:r>
    </w:p>
    <w:p w:rsidR="00947E4A" w:rsidRDefault="00947E4A">
      <w:pPr>
        <w:rPr>
          <w:sz w:val="20"/>
          <w:szCs w:val="20"/>
        </w:rPr>
      </w:pPr>
    </w:p>
    <w:tbl>
      <w:tblPr>
        <w:tblStyle w:val="a2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2.615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0.5446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0.8566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OE/+ vs old WT and old OE/+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P=&lt;0.05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0.1460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1.368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0.1145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7E4A" w:rsidRDefault="00E80CC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lastRenderedPageBreak/>
        <w:t>6E – EM fibroblast numbers in injured aged nerves, 4d cut</w:t>
      </w:r>
    </w:p>
    <w:p w:rsidR="00947E4A" w:rsidRDefault="00947E4A">
      <w:pPr>
        <w:rPr>
          <w:sz w:val="20"/>
          <w:szCs w:val="20"/>
        </w:rPr>
      </w:pPr>
    </w:p>
    <w:tbl>
      <w:tblPr>
        <w:tblStyle w:val="a3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4.062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7.071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8.731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23.50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0.5000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6F – EM nerve area in Age  </w:t>
      </w:r>
    </w:p>
    <w:p w:rsidR="00947E4A" w:rsidRDefault="00947E4A">
      <w:pPr>
        <w:rPr>
          <w:sz w:val="20"/>
          <w:szCs w:val="20"/>
        </w:rPr>
      </w:pPr>
    </w:p>
    <w:tbl>
      <w:tblPr>
        <w:tblStyle w:val="a4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93656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WT vs Old WT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88914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232031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39117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OE/+ vs Old WT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176766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19715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947E4A">
      <w:pPr>
        <w:rPr>
          <w:sz w:val="20"/>
          <w:szCs w:val="20"/>
          <w:u w:val="single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6G– EM Schwann cell counts in short and long term denervation  </w:t>
      </w:r>
    </w:p>
    <w:p w:rsidR="00947E4A" w:rsidRDefault="00947E4A">
      <w:pPr>
        <w:rPr>
          <w:sz w:val="20"/>
          <w:szCs w:val="20"/>
        </w:rPr>
      </w:pPr>
    </w:p>
    <w:tbl>
      <w:tblPr>
        <w:tblStyle w:val="a5"/>
        <w:tblW w:w="7912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55"/>
        <w:gridCol w:w="1208"/>
        <w:gridCol w:w="1205"/>
        <w:gridCol w:w="599"/>
        <w:gridCol w:w="1423"/>
        <w:gridCol w:w="925"/>
      </w:tblGrid>
      <w:tr w:rsidR="00947E4A">
        <w:tc>
          <w:tcPr>
            <w:tcW w:w="1397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5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208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20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99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92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257.3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13.21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WT vs 10W WT</w:t>
            </w: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947E4A">
        <w:trPr>
          <w:trHeight w:val="412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244.9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12.67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OE vs 10W OE and 10W WT</w:t>
            </w: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P=&lt;0.05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47E4A">
        <w:trPr>
          <w:trHeight w:val="412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182.0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8.959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 WT vs 10W OE</w:t>
            </w: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  <w:t xml:space="preserve"> &lt; </w:t>
            </w:r>
            <w:r>
              <w:rPr>
                <w:color w:val="000000"/>
                <w:sz w:val="20"/>
                <w:szCs w:val="20"/>
                <w:highlight w:val="white"/>
              </w:rPr>
              <w:t>0.0001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</w:t>
            </w:r>
          </w:p>
        </w:tc>
      </w:tr>
      <w:tr w:rsidR="00947E4A">
        <w:trPr>
          <w:trHeight w:val="412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301.8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17.27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ind w:left="567"/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6H – EM macrophage density in short and long term denervation  </w:t>
      </w:r>
    </w:p>
    <w:p w:rsidR="00947E4A" w:rsidRDefault="00947E4A">
      <w:pPr>
        <w:rPr>
          <w:sz w:val="20"/>
          <w:szCs w:val="20"/>
        </w:rPr>
      </w:pPr>
    </w:p>
    <w:tbl>
      <w:tblPr>
        <w:tblStyle w:val="a6"/>
        <w:tblW w:w="7912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55"/>
        <w:gridCol w:w="1208"/>
        <w:gridCol w:w="1205"/>
        <w:gridCol w:w="599"/>
        <w:gridCol w:w="1423"/>
        <w:gridCol w:w="925"/>
      </w:tblGrid>
      <w:tr w:rsidR="00947E4A">
        <w:tc>
          <w:tcPr>
            <w:tcW w:w="1397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5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208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20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99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92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6.206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0.7784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bookmarkStart w:id="1" w:name="bookmark=id.3znysh7" w:colFirst="0" w:colLast="0"/>
            <w:bookmarkEnd w:id="1"/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6.144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1.055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4.330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0.2989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9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5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208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3.583</w:t>
            </w:r>
          </w:p>
        </w:tc>
        <w:tc>
          <w:tcPr>
            <w:tcW w:w="120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1.130</w:t>
            </w:r>
          </w:p>
        </w:tc>
        <w:tc>
          <w:tcPr>
            <w:tcW w:w="599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6I– EM macrophage numbers in short and long term denervation  </w:t>
      </w:r>
    </w:p>
    <w:p w:rsidR="00947E4A" w:rsidRDefault="00947E4A">
      <w:pPr>
        <w:rPr>
          <w:sz w:val="20"/>
          <w:szCs w:val="20"/>
        </w:rPr>
      </w:pPr>
    </w:p>
    <w:tbl>
      <w:tblPr>
        <w:tblStyle w:val="a7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1130"/>
        <w:gridCol w:w="1181"/>
        <w:gridCol w:w="1177"/>
        <w:gridCol w:w="585"/>
        <w:gridCol w:w="1423"/>
        <w:gridCol w:w="1036"/>
      </w:tblGrid>
      <w:tr w:rsidR="00947E4A">
        <w:tc>
          <w:tcPr>
            <w:tcW w:w="1380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0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1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7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117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9.016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WT vs 10W WT and 10W OE/+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947E4A">
        <w:trPr>
          <w:trHeight w:val="412"/>
        </w:trPr>
        <w:tc>
          <w:tcPr>
            <w:tcW w:w="138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0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83.00</w:t>
            </w:r>
          </w:p>
        </w:tc>
        <w:tc>
          <w:tcPr>
            <w:tcW w:w="117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11.91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  <w:tr w:rsidR="00947E4A">
        <w:trPr>
          <w:trHeight w:val="412"/>
        </w:trPr>
        <w:tc>
          <w:tcPr>
            <w:tcW w:w="138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</w:t>
            </w:r>
          </w:p>
        </w:tc>
        <w:tc>
          <w:tcPr>
            <w:tcW w:w="117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OE/+ vs 10W WT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947E4A">
        <w:trPr>
          <w:trHeight w:val="412"/>
        </w:trPr>
        <w:tc>
          <w:tcPr>
            <w:tcW w:w="138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0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</w:t>
            </w:r>
          </w:p>
        </w:tc>
        <w:tc>
          <w:tcPr>
            <w:tcW w:w="1177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OE/+ vs 10W OE/+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6J – EM fibroblast density in short and long term denervation  </w:t>
      </w:r>
    </w:p>
    <w:p w:rsidR="00947E4A" w:rsidRDefault="00947E4A">
      <w:pPr>
        <w:rPr>
          <w:sz w:val="20"/>
          <w:szCs w:val="20"/>
        </w:rPr>
      </w:pPr>
    </w:p>
    <w:tbl>
      <w:tblPr>
        <w:tblStyle w:val="a8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2.347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0.3229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WT vs 10W WT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2.456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0.2889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OE/+ vs 10W WT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5.307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1.032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 OE/+ vs 10W WT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P=&lt;0.05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2.639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0.6052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6K – EM fibroblast numbers in short and long term denervation  </w:t>
      </w:r>
    </w:p>
    <w:p w:rsidR="00947E4A" w:rsidRDefault="00947E4A">
      <w:pPr>
        <w:rPr>
          <w:sz w:val="20"/>
          <w:szCs w:val="20"/>
        </w:rPr>
      </w:pPr>
    </w:p>
    <w:tbl>
      <w:tblPr>
        <w:tblStyle w:val="a9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30.86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4.543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33.71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2.757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3.464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>Two-way ANOVA with Tukey’s test</w:t>
      </w: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  <w:bookmarkStart w:id="2" w:name="_heading=h.1t3h5sf" w:colFirst="0" w:colLast="0"/>
      <w:bookmarkEnd w:id="2"/>
    </w:p>
    <w:p w:rsidR="00947E4A" w:rsidRDefault="00E80CCB">
      <w:pPr>
        <w:rPr>
          <w:sz w:val="20"/>
          <w:szCs w:val="20"/>
        </w:rPr>
      </w:pPr>
      <w:r>
        <w:rPr>
          <w:sz w:val="20"/>
          <w:szCs w:val="20"/>
        </w:rPr>
        <w:t xml:space="preserve">6L – EM nerve area short and long term denervation  </w:t>
      </w:r>
    </w:p>
    <w:p w:rsidR="00947E4A" w:rsidRDefault="00947E4A">
      <w:pPr>
        <w:rPr>
          <w:sz w:val="20"/>
          <w:szCs w:val="20"/>
        </w:rPr>
      </w:pPr>
    </w:p>
    <w:tbl>
      <w:tblPr>
        <w:tblStyle w:val="aa"/>
        <w:tblW w:w="7911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131"/>
        <w:gridCol w:w="1182"/>
        <w:gridCol w:w="1174"/>
        <w:gridCol w:w="585"/>
        <w:gridCol w:w="1423"/>
        <w:gridCol w:w="1036"/>
      </w:tblGrid>
      <w:tr w:rsidR="00947E4A">
        <w:tc>
          <w:tcPr>
            <w:tcW w:w="138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Genotype</w:t>
            </w:r>
          </w:p>
        </w:tc>
        <w:tc>
          <w:tcPr>
            <w:tcW w:w="1131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182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174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Comparisons made</w:t>
            </w:r>
          </w:p>
        </w:tc>
        <w:tc>
          <w:tcPr>
            <w:tcW w:w="1036" w:type="dxa"/>
            <w:shd w:val="clear" w:color="auto" w:fill="E0E0E0"/>
            <w:vAlign w:val="center"/>
          </w:tcPr>
          <w:p w:rsidR="00947E4A" w:rsidRDefault="00E80C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</w:tr>
      <w:tr w:rsidR="00947E4A">
        <w:trPr>
          <w:trHeight w:val="420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130262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WT vs 10W WT and OE/+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P=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  <w:t xml:space="preserve"> &lt; </w:t>
            </w:r>
            <w:r>
              <w:rPr>
                <w:color w:val="000000"/>
                <w:sz w:val="20"/>
                <w:szCs w:val="20"/>
                <w:highlight w:val="white"/>
              </w:rPr>
              <w:t>0.0001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138255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2W OE/+ vs 10W WT and OE/+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P=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highlight w:val="white"/>
              </w:rPr>
              <w:t xml:space="preserve"> &lt; </w:t>
            </w:r>
            <w:r>
              <w:rPr>
                <w:color w:val="000000"/>
                <w:sz w:val="20"/>
                <w:szCs w:val="20"/>
                <w:highlight w:val="white"/>
              </w:rPr>
              <w:t>0.0001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50321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 WT vs 10W OE/+</w:t>
            </w:r>
          </w:p>
        </w:tc>
        <w:tc>
          <w:tcPr>
            <w:tcW w:w="1036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P=&lt;0.05</w:t>
            </w:r>
          </w:p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47E4A">
        <w:trPr>
          <w:trHeight w:val="412"/>
        </w:trPr>
        <w:tc>
          <w:tcPr>
            <w:tcW w:w="138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OE/+</w:t>
            </w:r>
          </w:p>
        </w:tc>
        <w:tc>
          <w:tcPr>
            <w:tcW w:w="1131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10W</w:t>
            </w:r>
          </w:p>
        </w:tc>
        <w:tc>
          <w:tcPr>
            <w:tcW w:w="1182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77275</w:t>
            </w:r>
          </w:p>
        </w:tc>
        <w:tc>
          <w:tcPr>
            <w:tcW w:w="1174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7520</w:t>
            </w:r>
          </w:p>
        </w:tc>
        <w:tc>
          <w:tcPr>
            <w:tcW w:w="585" w:type="dxa"/>
            <w:vAlign w:val="center"/>
          </w:tcPr>
          <w:p w:rsidR="00947E4A" w:rsidRDefault="00E8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947E4A" w:rsidRDefault="00947E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7E4A" w:rsidRDefault="00E80C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Two-way ANOVA with Tukey’s test </w:t>
      </w:r>
    </w:p>
    <w:p w:rsidR="00947E4A" w:rsidRDefault="00947E4A">
      <w:pPr>
        <w:rPr>
          <w:sz w:val="20"/>
          <w:szCs w:val="20"/>
        </w:rPr>
      </w:pPr>
    </w:p>
    <w:p w:rsidR="00947E4A" w:rsidRDefault="00947E4A">
      <w:pPr>
        <w:rPr>
          <w:sz w:val="20"/>
          <w:szCs w:val="20"/>
        </w:rPr>
      </w:pPr>
    </w:p>
    <w:sectPr w:rsidR="00947E4A">
      <w:pgSz w:w="11900" w:h="16840"/>
      <w:pgMar w:top="1134" w:right="170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4A"/>
    <w:rsid w:val="005E2617"/>
    <w:rsid w:val="00947E4A"/>
    <w:rsid w:val="00E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093FF-4AEB-4935-BF69-0FE78045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64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tmXgD/D1jqd7rpok1c29y0msaA==">AMUW2mUwUCITQ3qIDYpCBlMRFck7NVgps2io68TswChCIwhYlJ+F0Au5jDOkxRGNAF6RpGjh7FqZR4i2mrhujgJS2pWJn/SwCTXHvNurp4md5lURAfjcD2GHc0rNuFZz7VFR+MB0IWq+kDn2HWEcQ5T1WtJ8MVMuQA==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Gomez Sanchez</dc:creator>
  <cp:lastModifiedBy>Jessen Lab</cp:lastModifiedBy>
  <cp:revision>2</cp:revision>
  <dcterms:created xsi:type="dcterms:W3CDTF">2020-12-05T13:27:00Z</dcterms:created>
  <dcterms:modified xsi:type="dcterms:W3CDTF">2020-12-05T13:27:00Z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584471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