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CE3" w:rsidRDefault="00440CE3" w:rsidP="005E7FF6">
      <w:pPr>
        <w:spacing w:before="39"/>
        <w:rPr>
          <w:b/>
          <w:color w:val="C00000"/>
        </w:rPr>
      </w:pPr>
      <w:bookmarkStart w:id="0" w:name="_Hlk49241354"/>
    </w:p>
    <w:p w:rsidR="005122E2" w:rsidRDefault="005122E2" w:rsidP="005122E2">
      <w:pPr>
        <w:pStyle w:val="Title"/>
        <w:spacing w:before="0" w:after="120"/>
        <w:ind w:left="0"/>
        <w:rPr>
          <w:color w:val="C00000"/>
          <w:sz w:val="32"/>
          <w:szCs w:val="32"/>
        </w:rPr>
      </w:pPr>
      <w:r w:rsidRPr="001B6303">
        <w:rPr>
          <w:color w:val="C00000"/>
          <w:sz w:val="32"/>
          <w:szCs w:val="32"/>
        </w:rPr>
        <w:t>Supplementary File</w:t>
      </w:r>
      <w:r>
        <w:rPr>
          <w:color w:val="C00000"/>
          <w:sz w:val="32"/>
          <w:szCs w:val="32"/>
        </w:rPr>
        <w:t xml:space="preserve"> 10</w:t>
      </w:r>
    </w:p>
    <w:bookmarkEnd w:id="0"/>
    <w:p w:rsidR="00440CE3" w:rsidRDefault="00440CE3" w:rsidP="005E7FF6">
      <w:pPr>
        <w:spacing w:before="39"/>
        <w:rPr>
          <w:b/>
        </w:rPr>
      </w:pPr>
    </w:p>
    <w:p w:rsidR="00440CE3" w:rsidRDefault="00440CE3" w:rsidP="005E7FF6">
      <w:pPr>
        <w:spacing w:before="39"/>
        <w:rPr>
          <w:b/>
        </w:rPr>
      </w:pPr>
      <w:bookmarkStart w:id="1" w:name="_GoBack"/>
      <w:bookmarkEnd w:id="1"/>
    </w:p>
    <w:p w:rsidR="005E7FF6" w:rsidRPr="00227878" w:rsidRDefault="005E7FF6" w:rsidP="005E7FF6">
      <w:pPr>
        <w:spacing w:before="39"/>
        <w:rPr>
          <w:b/>
          <w:bCs/>
          <w:color w:val="C00000"/>
        </w:rPr>
      </w:pPr>
      <w:r w:rsidRPr="00227878">
        <w:rPr>
          <w:b/>
          <w:bCs/>
          <w:color w:val="C00000"/>
          <w:sz w:val="24"/>
          <w:szCs w:val="24"/>
        </w:rPr>
        <w:t>List of primers and probes used for qPCR validation of DNA microarray result</w:t>
      </w:r>
      <w:r w:rsidRPr="00227878">
        <w:rPr>
          <w:b/>
          <w:bCs/>
          <w:color w:val="C00000"/>
        </w:rPr>
        <w:t>s</w:t>
      </w:r>
    </w:p>
    <w:p w:rsidR="005E7FF6" w:rsidRDefault="005E7FF6" w:rsidP="005E7FF6">
      <w:pPr>
        <w:pStyle w:val="BodyText"/>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31"/>
        <w:gridCol w:w="1055"/>
        <w:gridCol w:w="3504"/>
      </w:tblGrid>
      <w:tr w:rsidR="005E7FF6" w:rsidTr="00A66F50">
        <w:trPr>
          <w:trHeight w:val="700"/>
        </w:trPr>
        <w:tc>
          <w:tcPr>
            <w:tcW w:w="2623" w:type="pct"/>
            <w:tcBorders>
              <w:left w:val="single" w:sz="4" w:space="0" w:color="000000"/>
              <w:right w:val="single" w:sz="4" w:space="0" w:color="000000"/>
            </w:tcBorders>
          </w:tcPr>
          <w:p w:rsidR="005E7FF6" w:rsidRDefault="005E7FF6" w:rsidP="00A66F50">
            <w:pPr>
              <w:pStyle w:val="TableParagraph"/>
              <w:spacing w:before="8" w:line="240" w:lineRule="auto"/>
              <w:ind w:left="0"/>
              <w:rPr>
                <w:sz w:val="18"/>
              </w:rPr>
            </w:pPr>
          </w:p>
          <w:p w:rsidR="005E7FF6" w:rsidRDefault="005E7FF6" w:rsidP="00A66F50">
            <w:pPr>
              <w:pStyle w:val="TableParagraph"/>
              <w:spacing w:before="0" w:line="240" w:lineRule="auto"/>
              <w:ind w:left="214"/>
              <w:rPr>
                <w:b/>
                <w:sz w:val="20"/>
              </w:rPr>
            </w:pPr>
            <w:r>
              <w:rPr>
                <w:b/>
                <w:sz w:val="20"/>
              </w:rPr>
              <w:t>Gene coding for</w:t>
            </w:r>
          </w:p>
        </w:tc>
        <w:tc>
          <w:tcPr>
            <w:tcW w:w="550" w:type="pct"/>
            <w:tcBorders>
              <w:left w:val="single" w:sz="4" w:space="0" w:color="000000"/>
              <w:right w:val="single" w:sz="4" w:space="0" w:color="000000"/>
            </w:tcBorders>
          </w:tcPr>
          <w:p w:rsidR="005E7FF6" w:rsidRDefault="005E7FF6" w:rsidP="00A66F50">
            <w:pPr>
              <w:pStyle w:val="TableParagraph"/>
              <w:spacing w:before="8" w:line="240" w:lineRule="auto"/>
              <w:ind w:left="0"/>
              <w:rPr>
                <w:sz w:val="18"/>
              </w:rPr>
            </w:pPr>
          </w:p>
          <w:p w:rsidR="005E7FF6" w:rsidRDefault="005E7FF6" w:rsidP="00A66F50">
            <w:pPr>
              <w:pStyle w:val="TableParagraph"/>
              <w:spacing w:before="0" w:line="240" w:lineRule="auto"/>
              <w:rPr>
                <w:b/>
                <w:sz w:val="20"/>
              </w:rPr>
            </w:pPr>
            <w:r>
              <w:rPr>
                <w:b/>
                <w:sz w:val="20"/>
              </w:rPr>
              <w:t>Type</w:t>
            </w:r>
          </w:p>
        </w:tc>
        <w:tc>
          <w:tcPr>
            <w:tcW w:w="1827" w:type="pct"/>
            <w:tcBorders>
              <w:left w:val="single" w:sz="4" w:space="0" w:color="000000"/>
              <w:right w:val="single" w:sz="4" w:space="0" w:color="000000"/>
            </w:tcBorders>
          </w:tcPr>
          <w:p w:rsidR="005E7FF6" w:rsidRDefault="005E7FF6" w:rsidP="00A66F50">
            <w:pPr>
              <w:pStyle w:val="TableParagraph"/>
              <w:spacing w:before="8" w:line="240" w:lineRule="auto"/>
              <w:ind w:left="0"/>
              <w:rPr>
                <w:sz w:val="18"/>
              </w:rPr>
            </w:pPr>
          </w:p>
          <w:p w:rsidR="005E7FF6" w:rsidRDefault="005E7FF6" w:rsidP="00A66F50">
            <w:pPr>
              <w:pStyle w:val="TableParagraph"/>
              <w:spacing w:before="0" w:line="240" w:lineRule="auto"/>
              <w:rPr>
                <w:b/>
                <w:sz w:val="20"/>
              </w:rPr>
            </w:pPr>
            <w:r>
              <w:rPr>
                <w:b/>
                <w:sz w:val="20"/>
              </w:rPr>
              <w:t>5'-3' sequence</w:t>
            </w:r>
          </w:p>
        </w:tc>
      </w:tr>
      <w:tr w:rsidR="005E7FF6" w:rsidTr="00A66F50">
        <w:trPr>
          <w:trHeight w:val="268"/>
        </w:trPr>
        <w:tc>
          <w:tcPr>
            <w:tcW w:w="2623" w:type="pct"/>
            <w:vMerge w:val="restart"/>
            <w:tcBorders>
              <w:left w:val="single" w:sz="4" w:space="0" w:color="000000"/>
              <w:bottom w:val="single" w:sz="4" w:space="0" w:color="000000"/>
              <w:right w:val="single" w:sz="4" w:space="0" w:color="000000"/>
            </w:tcBorders>
          </w:tcPr>
          <w:p w:rsidR="005E7FF6" w:rsidRDefault="005E7FF6" w:rsidP="00A66F50">
            <w:pPr>
              <w:pStyle w:val="TableParagraph"/>
              <w:spacing w:before="7" w:line="240" w:lineRule="auto"/>
              <w:ind w:left="0"/>
              <w:rPr>
                <w:sz w:val="24"/>
              </w:rPr>
            </w:pPr>
          </w:p>
          <w:p w:rsidR="005E7FF6" w:rsidRDefault="005E7FF6" w:rsidP="00A66F50">
            <w:pPr>
              <w:pStyle w:val="TableParagraph"/>
              <w:spacing w:before="0" w:line="240" w:lineRule="auto"/>
              <w:ind w:left="214"/>
              <w:rPr>
                <w:sz w:val="20"/>
              </w:rPr>
            </w:pPr>
            <w:r>
              <w:rPr>
                <w:sz w:val="20"/>
              </w:rPr>
              <w:t>Calnexin</w:t>
            </w:r>
          </w:p>
        </w:tc>
        <w:tc>
          <w:tcPr>
            <w:tcW w:w="550" w:type="pct"/>
            <w:tcBorders>
              <w:left w:val="single" w:sz="4" w:space="0" w:color="000000"/>
              <w:bottom w:val="single" w:sz="4" w:space="0" w:color="000000"/>
              <w:right w:val="single" w:sz="4" w:space="0" w:color="000000"/>
            </w:tcBorders>
          </w:tcPr>
          <w:p w:rsidR="005E7FF6" w:rsidRDefault="005E7FF6" w:rsidP="00A66F50">
            <w:pPr>
              <w:pStyle w:val="TableParagraph"/>
              <w:spacing w:before="12" w:line="236" w:lineRule="exact"/>
              <w:rPr>
                <w:sz w:val="20"/>
              </w:rPr>
            </w:pPr>
            <w:r>
              <w:rPr>
                <w:sz w:val="20"/>
              </w:rPr>
              <w:t>Forward</w:t>
            </w:r>
          </w:p>
        </w:tc>
        <w:tc>
          <w:tcPr>
            <w:tcW w:w="1827" w:type="pct"/>
            <w:tcBorders>
              <w:left w:val="single" w:sz="4" w:space="0" w:color="000000"/>
              <w:bottom w:val="single" w:sz="4" w:space="0" w:color="000000"/>
              <w:right w:val="single" w:sz="4" w:space="0" w:color="000000"/>
            </w:tcBorders>
          </w:tcPr>
          <w:p w:rsidR="005E7FF6" w:rsidRDefault="005E7FF6" w:rsidP="00A66F50">
            <w:pPr>
              <w:pStyle w:val="TableParagraph"/>
              <w:spacing w:before="12" w:line="236" w:lineRule="exact"/>
              <w:rPr>
                <w:sz w:val="20"/>
              </w:rPr>
            </w:pPr>
            <w:r>
              <w:rPr>
                <w:sz w:val="20"/>
              </w:rPr>
              <w:t>GTCAAGCCAGATGACTGGAT</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GGTACATACTCGGGCTCATCA</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AAGATGCCCCTGCTAAGATTCCAGAT</w:t>
            </w:r>
          </w:p>
        </w:tc>
      </w:tr>
      <w:tr w:rsidR="005E7FF6" w:rsidTr="00A66F50">
        <w:trPr>
          <w:trHeight w:val="278"/>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TATA-box binding protein associated factor 11</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CTGACGGAGACGCAGATG</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GTCTTCCCTTTCAACTGTTGTTA</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CCTCCGCTGCAGCTTCTTTCAAGT</w:t>
            </w:r>
          </w:p>
        </w:tc>
      </w:tr>
      <w:tr w:rsidR="005E7FF6" w:rsidTr="00A66F50">
        <w:trPr>
          <w:trHeight w:val="277"/>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amyloid beta A4 protein-like</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AGTACCTACTGATGGCAATG</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TCATGTGCATGTTCAGTCT</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CTGCTGGCTGAACCCCAG</w:t>
            </w:r>
          </w:p>
        </w:tc>
      </w:tr>
      <w:tr w:rsidR="005E7FF6" w:rsidTr="00A66F50">
        <w:trPr>
          <w:trHeight w:val="277"/>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beta-2-microglobulin</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GCGCTACTCTCTCTTTCTG</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TTTCCATTCTCTGGTGGAT</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ACTCCAAAGATTCAGGTTTACTCACG</w:t>
            </w:r>
          </w:p>
        </w:tc>
      </w:tr>
      <w:tr w:rsidR="005E7FF6" w:rsidTr="00A66F50">
        <w:trPr>
          <w:trHeight w:val="278"/>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Chemokine (C-X-C motif) ligand 10</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TGTTAATCCAAGGTCTTTAG</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TCTTCTCACCCTTCTTTTT</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ATTATTCCTCCAAGTCAATTTTGTCC</w:t>
            </w:r>
          </w:p>
        </w:tc>
      </w:tr>
      <w:tr w:rsidR="005E7FF6" w:rsidTr="00A66F50">
        <w:trPr>
          <w:trHeight w:val="277"/>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tenascin C</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ACGAGGTGTCCCTCATCTC</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AACACGTCGAAGGTTCCT</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CGCAGAGGCGACATGTCAAGCAACC</w:t>
            </w:r>
          </w:p>
        </w:tc>
      </w:tr>
      <w:tr w:rsidR="005E7FF6" w:rsidTr="00A66F50">
        <w:trPr>
          <w:trHeight w:val="277"/>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glial fibrillary acidic protein</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TTCCTCAAGAACCGGATCT</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CTGGCTGCCTATAGACAGAA</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TCTCCAGATCCAGACGGGCC</w:t>
            </w:r>
          </w:p>
        </w:tc>
      </w:tr>
      <w:tr w:rsidR="005E7FF6" w:rsidTr="00A66F50">
        <w:trPr>
          <w:trHeight w:val="277"/>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complement component 3</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GACTTGATGATCTGCTCAAT</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GAGCCAGGAGTGGACTATT</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TACTCGTCAAAGTCATTGGACAGC</w:t>
            </w:r>
          </w:p>
        </w:tc>
      </w:tr>
      <w:tr w:rsidR="005E7FF6" w:rsidTr="00A66F50">
        <w:trPr>
          <w:trHeight w:val="278"/>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gamma-aminobutyric acid (GABA) A receptor, alpha 2</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GAACTGGCCATCGAGCAGAT</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TTCAACCCTTTCGCATTGTC</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CAACGAGTCACTCCTGCGCCCG</w:t>
            </w:r>
          </w:p>
        </w:tc>
      </w:tr>
      <w:tr w:rsidR="005E7FF6" w:rsidTr="00A66F50">
        <w:trPr>
          <w:trHeight w:val="278"/>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glutamate receptor, ionotropic, AMPA 1</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CATGCAGCAGTGGAAGAATAG</w:t>
            </w:r>
          </w:p>
        </w:tc>
      </w:tr>
      <w:tr w:rsidR="005E7FF6" w:rsidTr="00A66F50">
        <w:trPr>
          <w:trHeight w:val="277"/>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TCACCTTCACCCCATCGTA</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ACCACACTCGGGTGGACTGGAAAAGACCC</w:t>
            </w:r>
          </w:p>
        </w:tc>
      </w:tr>
      <w:tr w:rsidR="005E7FF6" w:rsidTr="00A66F50">
        <w:trPr>
          <w:trHeight w:val="277"/>
        </w:trPr>
        <w:tc>
          <w:tcPr>
            <w:tcW w:w="2623" w:type="pct"/>
            <w:vMerge w:val="restar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before="12" w:line="240" w:lineRule="auto"/>
              <w:ind w:left="0"/>
              <w:rPr>
                <w:sz w:val="24"/>
              </w:rPr>
            </w:pPr>
          </w:p>
          <w:p w:rsidR="005E7FF6" w:rsidRDefault="005E7FF6" w:rsidP="00A66F50">
            <w:pPr>
              <w:pStyle w:val="TableParagraph"/>
              <w:spacing w:before="0" w:line="240" w:lineRule="auto"/>
              <w:ind w:left="214"/>
              <w:rPr>
                <w:sz w:val="20"/>
              </w:rPr>
            </w:pPr>
            <w:r>
              <w:rPr>
                <w:sz w:val="20"/>
              </w:rPr>
              <w:t>Calbindin 1</w:t>
            </w: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Forward</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TTATTCTTCTCGCACAGATC</w:t>
            </w:r>
          </w:p>
        </w:tc>
      </w:tr>
      <w:tr w:rsidR="005E7FF6" w:rsidTr="00A66F50">
        <w:trPr>
          <w:trHeight w:val="278"/>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Reverse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rPr>
                <w:sz w:val="20"/>
              </w:rPr>
            </w:pPr>
            <w:r>
              <w:rPr>
                <w:sz w:val="20"/>
              </w:rPr>
              <w:t>GAGTTCAATAAGGCTTTTGA</w:t>
            </w:r>
          </w:p>
        </w:tc>
      </w:tr>
      <w:tr w:rsidR="005E7FF6" w:rsidTr="00A66F50">
        <w:trPr>
          <w:trHeight w:val="279"/>
        </w:trPr>
        <w:tc>
          <w:tcPr>
            <w:tcW w:w="2623" w:type="pct"/>
            <w:vMerge/>
            <w:tcBorders>
              <w:top w:val="nil"/>
              <w:left w:val="single" w:sz="4" w:space="0" w:color="000000"/>
              <w:bottom w:val="single" w:sz="4" w:space="0" w:color="000000"/>
              <w:right w:val="single" w:sz="4" w:space="0" w:color="000000"/>
            </w:tcBorders>
          </w:tcPr>
          <w:p w:rsidR="005E7FF6" w:rsidRDefault="005E7FF6" w:rsidP="00A66F50">
            <w:pPr>
              <w:rPr>
                <w:sz w:val="2"/>
                <w:szCs w:val="2"/>
              </w:rPr>
            </w:pPr>
          </w:p>
        </w:tc>
        <w:tc>
          <w:tcPr>
            <w:tcW w:w="550"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line="242" w:lineRule="exact"/>
              <w:rPr>
                <w:sz w:val="20"/>
              </w:rPr>
            </w:pPr>
            <w:r>
              <w:rPr>
                <w:sz w:val="20"/>
              </w:rPr>
              <w:t>Probe</w:t>
            </w:r>
          </w:p>
        </w:tc>
        <w:tc>
          <w:tcPr>
            <w:tcW w:w="1827" w:type="pct"/>
            <w:tcBorders>
              <w:top w:val="single" w:sz="4" w:space="0" w:color="000000"/>
              <w:left w:val="single" w:sz="4" w:space="0" w:color="000000"/>
              <w:bottom w:val="single" w:sz="4" w:space="0" w:color="000000"/>
              <w:right w:val="single" w:sz="4" w:space="0" w:color="000000"/>
            </w:tcBorders>
          </w:tcPr>
          <w:p w:rsidR="005E7FF6" w:rsidRDefault="005E7FF6" w:rsidP="00A66F50">
            <w:pPr>
              <w:pStyle w:val="TableParagraph"/>
              <w:spacing w:line="242" w:lineRule="exact"/>
              <w:rPr>
                <w:sz w:val="20"/>
              </w:rPr>
            </w:pPr>
            <w:r>
              <w:rPr>
                <w:sz w:val="20"/>
              </w:rPr>
              <w:t>CATTTTCATCTATGTATCCATTGCCG</w:t>
            </w:r>
          </w:p>
        </w:tc>
      </w:tr>
    </w:tbl>
    <w:p w:rsidR="005E7FF6" w:rsidRPr="001B6303" w:rsidRDefault="005E7FF6" w:rsidP="005E7FF6">
      <w:pPr>
        <w:pStyle w:val="Title"/>
        <w:ind w:left="0"/>
        <w:rPr>
          <w:sz w:val="32"/>
          <w:szCs w:val="32"/>
        </w:rPr>
        <w:sectPr w:rsidR="005E7FF6" w:rsidRPr="001B6303" w:rsidSect="00E74C3C">
          <w:footerReference w:type="default" r:id="rId6"/>
          <w:pgSz w:w="12240" w:h="15840"/>
          <w:pgMar w:top="720" w:right="1320" w:bottom="630" w:left="1320" w:header="720" w:footer="288" w:gutter="0"/>
          <w:pgNumType w:start="1"/>
          <w:cols w:space="720"/>
          <w:docGrid w:linePitch="299"/>
        </w:sectPr>
      </w:pPr>
    </w:p>
    <w:p w:rsidR="00D24DC4" w:rsidRPr="00227878" w:rsidRDefault="00227878" w:rsidP="00D24DC4">
      <w:pPr>
        <w:pStyle w:val="BodyText"/>
        <w:spacing w:before="7"/>
        <w:rPr>
          <w:b/>
          <w:color w:val="C00000"/>
          <w:sz w:val="24"/>
          <w:szCs w:val="24"/>
        </w:rPr>
      </w:pPr>
      <w:r w:rsidRPr="00227878">
        <w:rPr>
          <w:b/>
          <w:color w:val="C00000"/>
          <w:sz w:val="24"/>
          <w:szCs w:val="24"/>
        </w:rPr>
        <w:lastRenderedPageBreak/>
        <w:t>Validation of WNV-ND transcriptome</w:t>
      </w:r>
    </w:p>
    <w:p w:rsidR="00440CE3" w:rsidRDefault="00440CE3" w:rsidP="00D24DC4">
      <w:pPr>
        <w:pStyle w:val="BodyText"/>
        <w:spacing w:before="7"/>
        <w:rPr>
          <w:b/>
          <w:color w:val="C00000"/>
        </w:rPr>
      </w:pPr>
    </w:p>
    <w:p w:rsidR="00440CE3" w:rsidRDefault="00440CE3" w:rsidP="00D24DC4">
      <w:pPr>
        <w:pStyle w:val="BodyText"/>
        <w:spacing w:before="7"/>
        <w:rPr>
          <w:b/>
          <w:color w:val="C00000"/>
        </w:rPr>
      </w:pPr>
    </w:p>
    <w:p w:rsidR="00D24DC4" w:rsidRPr="00D24DC4" w:rsidRDefault="00D24DC4" w:rsidP="00D24DC4">
      <w:pPr>
        <w:pStyle w:val="BodyText"/>
        <w:spacing w:before="7"/>
        <w:rPr>
          <w:color w:val="C00000"/>
          <w:sz w:val="16"/>
        </w:rPr>
      </w:pPr>
    </w:p>
    <w:p w:rsidR="00D24DC4" w:rsidRDefault="00D24DC4" w:rsidP="00D24DC4">
      <w:pPr>
        <w:pStyle w:val="BodyText"/>
        <w:ind w:left="148"/>
        <w:rPr>
          <w:sz w:val="20"/>
        </w:rPr>
      </w:pPr>
      <w:r>
        <w:rPr>
          <w:noProof/>
          <w:sz w:val="20"/>
        </w:rPr>
        <w:drawing>
          <wp:inline distT="0" distB="0" distL="0" distR="0" wp14:anchorId="6F2D128B" wp14:editId="2F2D40BA">
            <wp:extent cx="5852629" cy="5985224"/>
            <wp:effectExtent l="0" t="0" r="0" b="0"/>
            <wp:docPr id="3" name="image1.png" descr="A screenshot of a cell phon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852629" cy="5985224"/>
                    </a:xfrm>
                    <a:prstGeom prst="rect">
                      <a:avLst/>
                    </a:prstGeom>
                  </pic:spPr>
                </pic:pic>
              </a:graphicData>
            </a:graphic>
          </wp:inline>
        </w:drawing>
      </w:r>
    </w:p>
    <w:p w:rsidR="00D24DC4" w:rsidRDefault="00D24DC4" w:rsidP="00D24DC4">
      <w:pPr>
        <w:pStyle w:val="BodyText"/>
        <w:rPr>
          <w:sz w:val="20"/>
        </w:rPr>
      </w:pPr>
    </w:p>
    <w:p w:rsidR="00D24DC4" w:rsidRDefault="00D24DC4" w:rsidP="00D24DC4">
      <w:pPr>
        <w:pStyle w:val="BodyText"/>
        <w:rPr>
          <w:sz w:val="20"/>
        </w:rPr>
      </w:pPr>
    </w:p>
    <w:p w:rsidR="00D24DC4" w:rsidRDefault="00D24DC4" w:rsidP="00D24DC4">
      <w:pPr>
        <w:pStyle w:val="BodyText"/>
        <w:rPr>
          <w:sz w:val="15"/>
        </w:rPr>
      </w:pPr>
    </w:p>
    <w:p w:rsidR="00D24DC4" w:rsidRDefault="00D24DC4" w:rsidP="00D24DC4">
      <w:pPr>
        <w:spacing w:before="61"/>
        <w:ind w:left="119" w:right="280"/>
        <w:rPr>
          <w:sz w:val="20"/>
        </w:rPr>
      </w:pPr>
      <w:r>
        <w:rPr>
          <w:b/>
          <w:sz w:val="20"/>
        </w:rPr>
        <w:t xml:space="preserve">Validation of WNV-ND transcriptome at the levels of RNA expression and affected biological processes. </w:t>
      </w:r>
      <w:r>
        <w:rPr>
          <w:sz w:val="20"/>
        </w:rPr>
        <w:t>(</w:t>
      </w:r>
      <w:r>
        <w:rPr>
          <w:b/>
          <w:sz w:val="20"/>
        </w:rPr>
        <w:t>a</w:t>
      </w:r>
      <w:r>
        <w:rPr>
          <w:sz w:val="20"/>
        </w:rPr>
        <w:t>) The levels of expression of select genes by qPCR in the cerebella of NHPs at the presymptomatic (3 dpi; n=3), early-symptomatic (7 dpi; n=3), and advanced-symptomatic (9 dpi; n=3) stages of WNV-ND relative to mock (n=3). Only statistically significant differences are indicated by brackets: *p&lt;0.05, **p&lt;0.01, ***p&lt;0.001,</w:t>
      </w:r>
    </w:p>
    <w:p w:rsidR="00E306B4" w:rsidRDefault="00D24DC4" w:rsidP="00D24DC4">
      <w:pPr>
        <w:ind w:left="119" w:right="264"/>
        <w:jc w:val="both"/>
      </w:pPr>
      <w:r>
        <w:rPr>
          <w:sz w:val="20"/>
        </w:rPr>
        <w:t>****p&lt;0.0001 by one-way ANOVA. Error bars, STDEV. Dashed lines indicate the chosen fold change cutoff for the differentially expressed genes in the microarray data. Biological processes to which each select gene was mapped are shown below each gene symbol. ECM, extracellular matrix.</w:t>
      </w:r>
      <w:r>
        <w:t xml:space="preserve"> </w:t>
      </w:r>
    </w:p>
    <w:sectPr w:rsidR="00E306B4" w:rsidSect="00440CE3">
      <w:pgSz w:w="12240" w:h="15840"/>
      <w:pgMar w:top="1080" w:right="1320" w:bottom="810" w:left="13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79A" w:rsidRDefault="0039779A" w:rsidP="007E2349">
      <w:r>
        <w:separator/>
      </w:r>
    </w:p>
  </w:endnote>
  <w:endnote w:type="continuationSeparator" w:id="0">
    <w:p w:rsidR="0039779A" w:rsidRDefault="0039779A" w:rsidP="007E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37948"/>
      <w:docPartObj>
        <w:docPartGallery w:val="Page Numbers (Bottom of Page)"/>
        <w:docPartUnique/>
      </w:docPartObj>
    </w:sdtPr>
    <w:sdtEndPr>
      <w:rPr>
        <w:noProof/>
      </w:rPr>
    </w:sdtEndPr>
    <w:sdtContent>
      <w:p w:rsidR="00440CE3" w:rsidRDefault="00440C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75C1E" w:rsidRDefault="0039779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79A" w:rsidRDefault="0039779A" w:rsidP="007E2349">
      <w:r>
        <w:separator/>
      </w:r>
    </w:p>
  </w:footnote>
  <w:footnote w:type="continuationSeparator" w:id="0">
    <w:p w:rsidR="0039779A" w:rsidRDefault="0039779A" w:rsidP="007E2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F6"/>
    <w:rsid w:val="0020635A"/>
    <w:rsid w:val="00227878"/>
    <w:rsid w:val="00265FFC"/>
    <w:rsid w:val="0039779A"/>
    <w:rsid w:val="00440CE3"/>
    <w:rsid w:val="004D1C74"/>
    <w:rsid w:val="005122E2"/>
    <w:rsid w:val="005E7FF6"/>
    <w:rsid w:val="006034C1"/>
    <w:rsid w:val="00736B29"/>
    <w:rsid w:val="00784A02"/>
    <w:rsid w:val="007E2349"/>
    <w:rsid w:val="00812EFC"/>
    <w:rsid w:val="009F1A0C"/>
    <w:rsid w:val="00A52734"/>
    <w:rsid w:val="00C1482A"/>
    <w:rsid w:val="00D24DC4"/>
    <w:rsid w:val="00D51819"/>
    <w:rsid w:val="00D768FF"/>
    <w:rsid w:val="00DA7F88"/>
    <w:rsid w:val="00E306B4"/>
    <w:rsid w:val="00E7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FA8B"/>
  <w15:chartTrackingRefBased/>
  <w15:docId w15:val="{C5B51B60-756E-462C-9B56-00E8E09F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F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E7FF6"/>
  </w:style>
  <w:style w:type="character" w:customStyle="1" w:styleId="BodyTextChar">
    <w:name w:val="Body Text Char"/>
    <w:basedOn w:val="DefaultParagraphFont"/>
    <w:link w:val="BodyText"/>
    <w:uiPriority w:val="1"/>
    <w:rsid w:val="005E7FF6"/>
    <w:rPr>
      <w:rFonts w:ascii="Calibri" w:eastAsia="Calibri" w:hAnsi="Calibri" w:cs="Calibri"/>
    </w:rPr>
  </w:style>
  <w:style w:type="paragraph" w:styleId="Title">
    <w:name w:val="Title"/>
    <w:basedOn w:val="Normal"/>
    <w:link w:val="TitleChar"/>
    <w:uiPriority w:val="10"/>
    <w:qFormat/>
    <w:rsid w:val="005E7FF6"/>
    <w:pPr>
      <w:spacing w:before="39"/>
      <w:ind w:left="120"/>
    </w:pPr>
    <w:rPr>
      <w:b/>
      <w:bCs/>
      <w:sz w:val="24"/>
      <w:szCs w:val="24"/>
    </w:rPr>
  </w:style>
  <w:style w:type="character" w:customStyle="1" w:styleId="TitleChar">
    <w:name w:val="Title Char"/>
    <w:basedOn w:val="DefaultParagraphFont"/>
    <w:link w:val="Title"/>
    <w:uiPriority w:val="10"/>
    <w:rsid w:val="005E7FF6"/>
    <w:rPr>
      <w:rFonts w:ascii="Calibri" w:eastAsia="Calibri" w:hAnsi="Calibri" w:cs="Calibri"/>
      <w:b/>
      <w:bCs/>
      <w:sz w:val="24"/>
      <w:szCs w:val="24"/>
    </w:rPr>
  </w:style>
  <w:style w:type="paragraph" w:customStyle="1" w:styleId="TableParagraph">
    <w:name w:val="Table Paragraph"/>
    <w:basedOn w:val="Normal"/>
    <w:uiPriority w:val="1"/>
    <w:qFormat/>
    <w:rsid w:val="005E7FF6"/>
    <w:pPr>
      <w:spacing w:before="17" w:line="241" w:lineRule="exact"/>
      <w:ind w:left="72"/>
    </w:pPr>
  </w:style>
  <w:style w:type="paragraph" w:styleId="Header">
    <w:name w:val="header"/>
    <w:basedOn w:val="Normal"/>
    <w:link w:val="HeaderChar"/>
    <w:uiPriority w:val="99"/>
    <w:unhideWhenUsed/>
    <w:rsid w:val="007E2349"/>
    <w:pPr>
      <w:tabs>
        <w:tab w:val="center" w:pos="4680"/>
        <w:tab w:val="right" w:pos="9360"/>
      </w:tabs>
    </w:pPr>
  </w:style>
  <w:style w:type="character" w:customStyle="1" w:styleId="HeaderChar">
    <w:name w:val="Header Char"/>
    <w:basedOn w:val="DefaultParagraphFont"/>
    <w:link w:val="Header"/>
    <w:uiPriority w:val="99"/>
    <w:rsid w:val="007E2349"/>
    <w:rPr>
      <w:rFonts w:ascii="Calibri" w:eastAsia="Calibri" w:hAnsi="Calibri" w:cs="Calibri"/>
    </w:rPr>
  </w:style>
  <w:style w:type="paragraph" w:styleId="Footer">
    <w:name w:val="footer"/>
    <w:basedOn w:val="Normal"/>
    <w:link w:val="FooterChar"/>
    <w:uiPriority w:val="99"/>
    <w:unhideWhenUsed/>
    <w:rsid w:val="007E2349"/>
    <w:pPr>
      <w:tabs>
        <w:tab w:val="center" w:pos="4680"/>
        <w:tab w:val="right" w:pos="9360"/>
      </w:tabs>
    </w:pPr>
  </w:style>
  <w:style w:type="character" w:customStyle="1" w:styleId="FooterChar">
    <w:name w:val="Footer Char"/>
    <w:basedOn w:val="DefaultParagraphFont"/>
    <w:link w:val="Footer"/>
    <w:uiPriority w:val="99"/>
    <w:rsid w:val="007E234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Maximova, Olga (NIH/NIAID) [E]</dc:creator>
  <cp:keywords/>
  <dc:description/>
  <cp:lastModifiedBy>Maximova, Olga (NIH/NIAID) [E]</cp:lastModifiedBy>
  <cp:revision>3</cp:revision>
  <dcterms:created xsi:type="dcterms:W3CDTF">2021-01-08T19:55:00Z</dcterms:created>
  <dcterms:modified xsi:type="dcterms:W3CDTF">2021-01-08T19:56:00Z</dcterms:modified>
</cp:coreProperties>
</file>