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Layout w:type="fixed"/>
        <w:tblLook w:val="04A0" w:firstRow="1" w:lastRow="0" w:firstColumn="1" w:lastColumn="0" w:noHBand="0" w:noVBand="1"/>
      </w:tblPr>
      <w:tblGrid>
        <w:gridCol w:w="2972"/>
        <w:gridCol w:w="8"/>
        <w:gridCol w:w="6654"/>
      </w:tblGrid>
      <w:tr w:rsidR="008B51B8" w:rsidRPr="00654988" w14:paraId="7452A950" w14:textId="77777777" w:rsidTr="00F97CEA">
        <w:tc>
          <w:tcPr>
            <w:tcW w:w="9634" w:type="dxa"/>
            <w:gridSpan w:val="3"/>
          </w:tcPr>
          <w:p w14:paraId="78FBF0D2" w14:textId="08755CD0" w:rsidR="008B51B8" w:rsidRPr="00654988" w:rsidRDefault="008B51B8" w:rsidP="008B51B8">
            <w:pPr>
              <w:rPr>
                <w:rFonts w:ascii="Arial" w:hAnsi="Arial" w:cs="Arial"/>
                <w:b/>
                <w:shd w:val="clear" w:color="auto" w:fill="FFFFFF"/>
              </w:rPr>
            </w:pPr>
            <w:bookmarkStart w:id="0" w:name="_GoBack"/>
            <w:r>
              <w:rPr>
                <w:rFonts w:ascii="Arial" w:hAnsi="Arial" w:cs="Arial"/>
                <w:b/>
                <w:shd w:val="clear" w:color="auto" w:fill="FFFFFF"/>
              </w:rPr>
              <w:t>Supplementary File 2</w:t>
            </w:r>
          </w:p>
        </w:tc>
      </w:tr>
      <w:bookmarkEnd w:id="0"/>
      <w:tr w:rsidR="00141A88" w:rsidRPr="00654988" w14:paraId="781E1BF1" w14:textId="77777777" w:rsidTr="00244380">
        <w:tc>
          <w:tcPr>
            <w:tcW w:w="2980" w:type="dxa"/>
            <w:gridSpan w:val="2"/>
          </w:tcPr>
          <w:p w14:paraId="22365A2D" w14:textId="77777777" w:rsidR="00141A88" w:rsidRPr="00654988" w:rsidRDefault="00141A88" w:rsidP="00E137DC">
            <w:pPr>
              <w:rPr>
                <w:rFonts w:ascii="Arial" w:hAnsi="Arial" w:cs="Arial"/>
                <w:b/>
                <w:shd w:val="clear" w:color="auto" w:fill="FFFFFF"/>
              </w:rPr>
            </w:pPr>
            <w:r w:rsidRPr="00654988">
              <w:rPr>
                <w:rFonts w:ascii="Arial" w:hAnsi="Arial" w:cs="Arial"/>
                <w:b/>
                <w:shd w:val="clear" w:color="auto" w:fill="FFFFFF"/>
              </w:rPr>
              <w:t>Protein name/site</w:t>
            </w:r>
          </w:p>
        </w:tc>
        <w:tc>
          <w:tcPr>
            <w:tcW w:w="6654" w:type="dxa"/>
          </w:tcPr>
          <w:p w14:paraId="1A2E2A6B" w14:textId="77777777" w:rsidR="00141A88" w:rsidRPr="00654988" w:rsidRDefault="00141A88" w:rsidP="00B125CF">
            <w:pPr>
              <w:jc w:val="center"/>
              <w:rPr>
                <w:rFonts w:ascii="Arial" w:hAnsi="Arial" w:cs="Arial"/>
                <w:b/>
                <w:shd w:val="clear" w:color="auto" w:fill="FFFFFF"/>
              </w:rPr>
            </w:pPr>
            <w:r w:rsidRPr="00654988">
              <w:rPr>
                <w:rFonts w:ascii="Arial" w:hAnsi="Arial" w:cs="Arial"/>
                <w:b/>
                <w:shd w:val="clear" w:color="auto" w:fill="FFFFFF"/>
              </w:rPr>
              <w:t>Biological significance</w:t>
            </w:r>
          </w:p>
        </w:tc>
      </w:tr>
      <w:tr w:rsidR="007E239D" w:rsidRPr="00654988" w14:paraId="723558A3" w14:textId="77777777" w:rsidTr="00244380">
        <w:trPr>
          <w:gridAfter w:val="1"/>
          <w:wAfter w:w="6654" w:type="dxa"/>
        </w:trPr>
        <w:tc>
          <w:tcPr>
            <w:tcW w:w="2980" w:type="dxa"/>
            <w:gridSpan w:val="2"/>
            <w:shd w:val="clear" w:color="auto" w:fill="auto"/>
          </w:tcPr>
          <w:p w14:paraId="3622DAEC" w14:textId="77777777" w:rsidR="007E239D" w:rsidRPr="00654988" w:rsidRDefault="007E239D" w:rsidP="00E137DC">
            <w:pPr>
              <w:rPr>
                <w:rFonts w:ascii="Arial" w:hAnsi="Arial" w:cs="Arial"/>
                <w:b/>
                <w:shd w:val="clear" w:color="auto" w:fill="FFFFFF"/>
              </w:rPr>
            </w:pPr>
            <w:r w:rsidRPr="00654988">
              <w:rPr>
                <w:rFonts w:ascii="Arial" w:hAnsi="Arial" w:cs="Arial"/>
                <w:b/>
                <w:shd w:val="clear" w:color="auto" w:fill="FFFFFF"/>
              </w:rPr>
              <w:t>ATG16L1</w:t>
            </w:r>
          </w:p>
        </w:tc>
      </w:tr>
      <w:tr w:rsidR="00141A88" w:rsidRPr="00654988" w14:paraId="4A7D55A5" w14:textId="77777777" w:rsidTr="00244380">
        <w:tc>
          <w:tcPr>
            <w:tcW w:w="2980" w:type="dxa"/>
            <w:gridSpan w:val="2"/>
          </w:tcPr>
          <w:p w14:paraId="03965B4E" w14:textId="77777777" w:rsidR="00141A88" w:rsidRPr="00654988" w:rsidRDefault="00141A88" w:rsidP="00E137DC">
            <w:pPr>
              <w:rPr>
                <w:rFonts w:ascii="Arial" w:hAnsi="Arial" w:cs="Arial"/>
                <w:sz w:val="20"/>
                <w:szCs w:val="20"/>
                <w:shd w:val="clear" w:color="auto" w:fill="FFFFFF"/>
              </w:rPr>
            </w:pPr>
            <w:r w:rsidRPr="00654988">
              <w:rPr>
                <w:rFonts w:ascii="Arial" w:hAnsi="Arial" w:cs="Arial"/>
                <w:sz w:val="20"/>
                <w:szCs w:val="20"/>
                <w:shd w:val="clear" w:color="auto" w:fill="FFFFFF"/>
              </w:rPr>
              <w:t>S287, S289</w:t>
            </w:r>
          </w:p>
        </w:tc>
        <w:tc>
          <w:tcPr>
            <w:tcW w:w="6654" w:type="dxa"/>
          </w:tcPr>
          <w:p w14:paraId="3A397D01" w14:textId="6AB3732C" w:rsidR="00141A88" w:rsidRPr="00654988" w:rsidRDefault="00E36745" w:rsidP="00DD4BDA">
            <w:pPr>
              <w:pStyle w:val="ListParagraph"/>
              <w:numPr>
                <w:ilvl w:val="0"/>
                <w:numId w:val="9"/>
              </w:numPr>
              <w:ind w:left="357" w:hanging="357"/>
              <w:rPr>
                <w:rFonts w:ascii="Arial" w:hAnsi="Arial" w:cs="Arial"/>
                <w:sz w:val="20"/>
                <w:szCs w:val="20"/>
                <w:shd w:val="clear" w:color="auto" w:fill="FFFFFF"/>
              </w:rPr>
            </w:pPr>
            <w:bookmarkStart w:id="1" w:name="OLE_LINK1"/>
            <w:bookmarkStart w:id="2" w:name="OLE_LINK2"/>
            <w:r w:rsidRPr="00654988">
              <w:rPr>
                <w:rFonts w:ascii="Arial" w:hAnsi="Arial" w:cs="Arial"/>
                <w:sz w:val="20"/>
                <w:szCs w:val="20"/>
                <w:shd w:val="clear" w:color="auto" w:fill="FFFFFF"/>
              </w:rPr>
              <w:t xml:space="preserve">Phosphorylation </w:t>
            </w:r>
            <w:r w:rsidR="008D2871">
              <w:rPr>
                <w:rFonts w:ascii="Arial" w:hAnsi="Arial" w:cs="Arial"/>
                <w:sz w:val="20"/>
                <w:szCs w:val="20"/>
                <w:shd w:val="clear" w:color="auto" w:fill="FFFFFF"/>
              </w:rPr>
              <w:t>at</w:t>
            </w:r>
            <w:r w:rsidRPr="00654988">
              <w:rPr>
                <w:rFonts w:ascii="Arial" w:hAnsi="Arial" w:cs="Arial"/>
                <w:sz w:val="20"/>
                <w:szCs w:val="20"/>
                <w:shd w:val="clear" w:color="auto" w:fill="FFFFFF"/>
              </w:rPr>
              <w:t xml:space="preserve"> these sites is regulated by ULK1 and IKK kinases</w:t>
            </w:r>
            <w:r w:rsidR="00DD4BDA">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{"citationID":"AjXmbv9F","properties":{"formattedCitation":"(Alsaadi et al., 2019; Diamanti et al., 2017)","plainCitation":"(Alsaadi et al., 2019; Diamanti et al., 2017)","noteIndex":0},"citationItems":[{"id":2681,"uris":["http://zotero.org/groups/2342045/items/Q57WWXUI"],"uri":["http://zotero.org/groups/2342045/items/Q57WWXUI"],"itemData":{"id":2681,"type":"article-journal","abstract":"Abstract Autophagy is a highly regulated catabolic pathway that is potently induced by stressors including starvation and infection. An essential component of the autophagy pathway is an ATG16L1-containing E3-like enzyme, which is responsible for lipidating LC3B and driving autophagosome formation. ATG16L1 polymorphisms have been linked to the development of Crohn's disease (CD), and phosphorylation of CD-associated ATG16L1 T300A (caATG16L1) has been hypothesized to contribute to cleavage and autophagy dysfunction. Here we show that ULK1 kinase directly phosphorylates ATG16L1 in response to infection and starvation. Phosphorylated ATG16L1 localizes to the site of internalized bacteria and stable cell lines harbouring a phospho-dead mutant of ATG16L1 have impaired xenophagy, indicating a role for ATG16L1 phosphorylation in the promotion of anti-bacterial autophagy. In contrast to wild-type ATG16L1, ULK1-mediated phosphorylation of caATG16L1 drives its destabilization in response to stress. In summary, our results show that ATG16L1 is a novel target of ULK1 kinase and that ULK1 signalling to ATG16L1 is a double-edged sword, enhancing the function of the wild-type ATG16L1, but promoting degradation of caATG16L1.","container-title":"EMBO reports","DOI":"10.15252/embr.201846885","ISSN":"1469-221X","issue":"7","journalAbbreviation":"EMBO reports","note":"publisher: John Wiley &amp; Sons, Ltd","page":"e46885","source":"embopress.org (Atypon)","title":"ULK1-mediated phosphorylation of ATG16L1 promotes xenophagy, but destabilizes the ATG16L1 Crohn's mutant","volume":"20","author":[{"family":"Alsaadi","given":"Reham M"},{"family":"Losier","given":"Truc T"},{"family":"Tian","given":"Wensheng"},{"family":"Jackson","given":"Anne"},{"family":"Guo","given":"Zhihao"},{"family":"Rubinsztein","given":"David C"},{"family":"Russell","given":"Ryan C"}],"issued":{"date-parts":[["2019",7,1]]}}},{"id":2736,"uris":["http://zotero.org/groups/2342045/items/PPDBB7H9"],"uri":["http://zotero.org/groups/2342045/items/PPDBB7H9"],"itemData":{"id":2736,"type":"article-journal","abstract":"Inhibition of the IκB kinase complex (IKK) has been implicated in the therapy of several chronic inflammatory diseases including inflammatory bowel diseases. In this study, using mice with an inactivatable IKKα kinase (IkkαAA/AA), we show that loss of IKKα function markedly impairs epithelial regeneration in a model of acute colitis. Mechanistically, this is caused by compromised secretion of cytoprotective IL-18 from IKKα-mutant intestinal epithelial cells because of elevated caspase 12 activation during an enhanced unfolded protein response (UPR). Induction of the UPR is linked to decreased ATG16L1 stabilization in IkkαAA/AA mice. We demonstrate that both TNF-R and nucleotide-binding oligomerization domain stimulation promote ATG16L1 stabilization via IKKα-dependent phosphorylation of ATG16L1 at Ser278. Thus, we propose IKKα as a central mediator sensing both cytokine and microbial stimulation to suppress endoplasmic reticulum stress, thereby assuring antiinflammatory function during acute intestinal inflammation.","container-title":"The Journal of Experimental Medicine","DOI":"10.1084/jem.20161867","ISSN":"1540-9538","issue":"2","journalAbbreviation":"J. Exp. Med.","language":"eng","note":"PMID: 28082356\nPMCID: PMC5294863","page":"423-437","source":"PubMed","title":"IKKα controls ATG16L1 degradation to prevent ER stress during inflammation","volume":"214","author":[{"family":"Diamanti","given":"Michaela A."},{"family":"Gupta","given":"Jalaj"},{"family":"Bennecke","given":"Moritz"},{"family":"De Oliveira","given":"Tiago"},{"family":"Ramakrishnan","given":"Mallika"},{"family":"Braczynski","given":"Anne K."},{"family":"Richter","given":"Benjamin"},{"family":"Beli","given":"Petra"},{"family":"Hu","given":"Yinling"},{"family":"Saleh","given":"Maya"},{"family":"Mittelbronn","given":"Michel"},{"family":"Dikic","given":"Ivan"},{"family":"Greten","given":"Florian R."}],"issued":{"date-parts":[["2017"]]}}}],"schema":"https://github.com/citation-style-language/schema/raw/master/csl-citation.json"} </w:instrText>
            </w:r>
            <w:r w:rsidR="00DD4BDA">
              <w:rPr>
                <w:rFonts w:ascii="Arial" w:hAnsi="Arial" w:cs="Arial"/>
                <w:sz w:val="20"/>
                <w:szCs w:val="20"/>
                <w:shd w:val="clear" w:color="auto" w:fill="FFFFFF"/>
              </w:rPr>
              <w:fldChar w:fldCharType="separate"/>
            </w:r>
            <w:r w:rsidR="008255B7" w:rsidRPr="008255B7">
              <w:rPr>
                <w:rFonts w:ascii="Arial" w:hAnsi="Arial" w:cs="Arial"/>
                <w:sz w:val="20"/>
              </w:rPr>
              <w:t>(Alsaadi et al., 2019; Diamanti et al., 2017)</w:t>
            </w:r>
            <w:r w:rsidR="00DD4BDA">
              <w:rPr>
                <w:rFonts w:ascii="Arial" w:hAnsi="Arial" w:cs="Arial"/>
                <w:sz w:val="20"/>
                <w:szCs w:val="20"/>
                <w:shd w:val="clear" w:color="auto" w:fill="FFFFFF"/>
              </w:rPr>
              <w:fldChar w:fldCharType="end"/>
            </w:r>
            <w:r w:rsidR="00141A88" w:rsidRPr="00654988">
              <w:rPr>
                <w:rFonts w:ascii="Arial" w:hAnsi="Arial" w:cs="Arial"/>
                <w:sz w:val="20"/>
                <w:szCs w:val="20"/>
                <w:shd w:val="clear" w:color="auto" w:fill="FFFFFF"/>
              </w:rPr>
              <w:t>.</w:t>
            </w:r>
            <w:r w:rsidRPr="00654988">
              <w:rPr>
                <w:rFonts w:ascii="Arial" w:hAnsi="Arial" w:cs="Arial"/>
                <w:sz w:val="20"/>
                <w:szCs w:val="20"/>
                <w:shd w:val="clear" w:color="auto" w:fill="FFFFFF"/>
              </w:rPr>
              <w:t xml:space="preserve"> I</w:t>
            </w:r>
            <w:r w:rsidR="00141A88" w:rsidRPr="00654988">
              <w:rPr>
                <w:rFonts w:ascii="Arial" w:hAnsi="Arial" w:cs="Arial"/>
                <w:sz w:val="20"/>
                <w:szCs w:val="20"/>
                <w:shd w:val="clear" w:color="auto" w:fill="FFFFFF"/>
              </w:rPr>
              <w:t>mportant for ATG16L1 localization to Salmonell</w:t>
            </w:r>
            <w:bookmarkEnd w:id="1"/>
            <w:bookmarkEnd w:id="2"/>
            <w:r w:rsidR="00C176B9" w:rsidRPr="00654988">
              <w:rPr>
                <w:rFonts w:ascii="Arial" w:hAnsi="Arial" w:cs="Arial"/>
                <w:sz w:val="20"/>
                <w:szCs w:val="20"/>
                <w:shd w:val="clear" w:color="auto" w:fill="FFFFFF"/>
              </w:rPr>
              <w:t>a</w:t>
            </w:r>
          </w:p>
        </w:tc>
      </w:tr>
      <w:tr w:rsidR="007E239D" w:rsidRPr="00654988" w14:paraId="7CF9953C" w14:textId="77777777" w:rsidTr="00244380">
        <w:trPr>
          <w:gridAfter w:val="1"/>
          <w:wAfter w:w="6654" w:type="dxa"/>
        </w:trPr>
        <w:tc>
          <w:tcPr>
            <w:tcW w:w="2980" w:type="dxa"/>
            <w:gridSpan w:val="2"/>
          </w:tcPr>
          <w:p w14:paraId="454B8351" w14:textId="77777777" w:rsidR="007E239D" w:rsidRPr="00654988" w:rsidRDefault="007E239D" w:rsidP="00C8455E">
            <w:pPr>
              <w:rPr>
                <w:rFonts w:ascii="Arial" w:hAnsi="Arial" w:cs="Arial"/>
                <w:shd w:val="clear" w:color="auto" w:fill="FFFFFF"/>
              </w:rPr>
            </w:pPr>
            <w:r w:rsidRPr="00654988">
              <w:rPr>
                <w:rFonts w:ascii="Arial" w:hAnsi="Arial" w:cs="Arial"/>
                <w:b/>
                <w:shd w:val="clear" w:color="auto" w:fill="FFFFFF"/>
              </w:rPr>
              <w:t>ATG5</w:t>
            </w:r>
          </w:p>
        </w:tc>
      </w:tr>
      <w:tr w:rsidR="00141A88" w:rsidRPr="00654988" w14:paraId="51D1336F" w14:textId="77777777" w:rsidTr="00244380">
        <w:tc>
          <w:tcPr>
            <w:tcW w:w="2980" w:type="dxa"/>
            <w:gridSpan w:val="2"/>
          </w:tcPr>
          <w:p w14:paraId="0DDF24B2" w14:textId="77777777" w:rsidR="00141A88" w:rsidRPr="00654988" w:rsidRDefault="00141A88" w:rsidP="00C8455E">
            <w:pPr>
              <w:rPr>
                <w:rFonts w:ascii="Arial" w:hAnsi="Arial" w:cs="Arial"/>
                <w:sz w:val="20"/>
                <w:szCs w:val="20"/>
                <w:shd w:val="clear" w:color="auto" w:fill="FFFFFF"/>
              </w:rPr>
            </w:pPr>
            <w:r w:rsidRPr="00654988">
              <w:rPr>
                <w:rFonts w:ascii="Arial" w:hAnsi="Arial" w:cs="Arial"/>
                <w:sz w:val="20"/>
                <w:szCs w:val="20"/>
                <w:shd w:val="clear" w:color="auto" w:fill="FFFFFF"/>
              </w:rPr>
              <w:t>K234</w:t>
            </w:r>
          </w:p>
        </w:tc>
        <w:tc>
          <w:tcPr>
            <w:tcW w:w="6654" w:type="dxa"/>
          </w:tcPr>
          <w:p w14:paraId="448F8AEB" w14:textId="77777777" w:rsidR="00141A88" w:rsidRPr="00654988" w:rsidRDefault="00141A88" w:rsidP="00496BA5">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7E239D" w:rsidRPr="00654988" w14:paraId="1401DDF2" w14:textId="77777777" w:rsidTr="00244380">
        <w:trPr>
          <w:gridAfter w:val="1"/>
          <w:wAfter w:w="6654" w:type="dxa"/>
        </w:trPr>
        <w:tc>
          <w:tcPr>
            <w:tcW w:w="2980" w:type="dxa"/>
            <w:gridSpan w:val="2"/>
          </w:tcPr>
          <w:p w14:paraId="61AF0FE6" w14:textId="77777777" w:rsidR="007E239D" w:rsidRPr="00654988" w:rsidRDefault="007E239D" w:rsidP="00C8455E">
            <w:pPr>
              <w:rPr>
                <w:rFonts w:ascii="Arial" w:hAnsi="Arial" w:cs="Arial"/>
                <w:shd w:val="clear" w:color="auto" w:fill="FFFFFF"/>
              </w:rPr>
            </w:pPr>
            <w:r w:rsidRPr="00654988">
              <w:rPr>
                <w:rFonts w:ascii="Arial" w:hAnsi="Arial" w:cs="Arial"/>
                <w:b/>
                <w:shd w:val="clear" w:color="auto" w:fill="FFFFFF"/>
              </w:rPr>
              <w:t>ATG12</w:t>
            </w:r>
          </w:p>
        </w:tc>
      </w:tr>
      <w:tr w:rsidR="00141A88" w:rsidRPr="00654988" w14:paraId="1B8ACEB8" w14:textId="77777777" w:rsidTr="00244380">
        <w:tc>
          <w:tcPr>
            <w:tcW w:w="2980" w:type="dxa"/>
            <w:gridSpan w:val="2"/>
          </w:tcPr>
          <w:p w14:paraId="26AC5C44" w14:textId="77777777" w:rsidR="00141A88" w:rsidRPr="00654988" w:rsidRDefault="00141A88" w:rsidP="00C8455E">
            <w:pPr>
              <w:rPr>
                <w:rFonts w:ascii="Arial" w:hAnsi="Arial" w:cs="Arial"/>
                <w:sz w:val="20"/>
                <w:szCs w:val="20"/>
                <w:highlight w:val="yellow"/>
                <w:shd w:val="clear" w:color="auto" w:fill="FFFFFF"/>
              </w:rPr>
            </w:pPr>
            <w:r w:rsidRPr="00654988">
              <w:rPr>
                <w:rFonts w:ascii="Arial" w:hAnsi="Arial" w:cs="Arial"/>
                <w:sz w:val="20"/>
                <w:szCs w:val="20"/>
                <w:shd w:val="clear" w:color="auto" w:fill="FFFFFF"/>
              </w:rPr>
              <w:t>No sites reported in our study.</w:t>
            </w:r>
          </w:p>
        </w:tc>
        <w:tc>
          <w:tcPr>
            <w:tcW w:w="6654" w:type="dxa"/>
          </w:tcPr>
          <w:p w14:paraId="3D5C5DE4" w14:textId="77777777" w:rsidR="00141A88" w:rsidRPr="00654988" w:rsidRDefault="00141A88" w:rsidP="00C8455E">
            <w:pPr>
              <w:rPr>
                <w:rFonts w:ascii="Arial" w:hAnsi="Arial" w:cs="Arial"/>
                <w:sz w:val="20"/>
                <w:szCs w:val="20"/>
                <w:highlight w:val="yellow"/>
                <w:shd w:val="clear" w:color="auto" w:fill="FFFFFF"/>
              </w:rPr>
            </w:pPr>
          </w:p>
        </w:tc>
      </w:tr>
      <w:tr w:rsidR="007E239D" w:rsidRPr="00654988" w14:paraId="4116119B" w14:textId="77777777" w:rsidTr="00244380">
        <w:trPr>
          <w:gridAfter w:val="1"/>
          <w:wAfter w:w="6654" w:type="dxa"/>
        </w:trPr>
        <w:tc>
          <w:tcPr>
            <w:tcW w:w="2980" w:type="dxa"/>
            <w:gridSpan w:val="2"/>
          </w:tcPr>
          <w:p w14:paraId="372928FC" w14:textId="77777777" w:rsidR="007E239D" w:rsidRPr="00654988" w:rsidRDefault="007E239D" w:rsidP="00C8455E">
            <w:pPr>
              <w:rPr>
                <w:rFonts w:ascii="Arial" w:hAnsi="Arial" w:cs="Arial"/>
                <w:shd w:val="clear" w:color="auto" w:fill="FFFFFF"/>
              </w:rPr>
            </w:pPr>
            <w:r w:rsidRPr="00654988">
              <w:rPr>
                <w:rFonts w:ascii="Arial" w:hAnsi="Arial" w:cs="Arial"/>
                <w:b/>
                <w:shd w:val="clear" w:color="auto" w:fill="FFFFFF"/>
              </w:rPr>
              <w:t>ATG3</w:t>
            </w:r>
          </w:p>
        </w:tc>
      </w:tr>
      <w:tr w:rsidR="00141A88" w:rsidRPr="00654988" w14:paraId="76B79900" w14:textId="77777777" w:rsidTr="00244380">
        <w:tc>
          <w:tcPr>
            <w:tcW w:w="2980" w:type="dxa"/>
            <w:gridSpan w:val="2"/>
          </w:tcPr>
          <w:p w14:paraId="06AE3AC8" w14:textId="77777777" w:rsidR="00141A88" w:rsidRPr="00654988" w:rsidRDefault="00141A88" w:rsidP="00027217">
            <w:pPr>
              <w:rPr>
                <w:rFonts w:ascii="Arial" w:hAnsi="Arial" w:cs="Arial"/>
                <w:sz w:val="20"/>
                <w:szCs w:val="20"/>
                <w:shd w:val="clear" w:color="auto" w:fill="FFFFFF"/>
              </w:rPr>
            </w:pPr>
            <w:r w:rsidRPr="00654988">
              <w:rPr>
                <w:rFonts w:ascii="Arial" w:hAnsi="Arial" w:cs="Arial"/>
                <w:sz w:val="20"/>
                <w:szCs w:val="20"/>
                <w:shd w:val="clear" w:color="auto" w:fill="FFFFFF"/>
              </w:rPr>
              <w:t>K71</w:t>
            </w:r>
          </w:p>
        </w:tc>
        <w:tc>
          <w:tcPr>
            <w:tcW w:w="6654" w:type="dxa"/>
          </w:tcPr>
          <w:p w14:paraId="6511CB78" w14:textId="77777777" w:rsidR="00141A88" w:rsidRPr="00654988" w:rsidRDefault="00141A88" w:rsidP="00355B13">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4526466E" w14:textId="77777777" w:rsidTr="00244380">
        <w:trPr>
          <w:gridAfter w:val="1"/>
          <w:wAfter w:w="6654" w:type="dxa"/>
        </w:trPr>
        <w:tc>
          <w:tcPr>
            <w:tcW w:w="2980" w:type="dxa"/>
            <w:gridSpan w:val="2"/>
          </w:tcPr>
          <w:p w14:paraId="7C75901B" w14:textId="77777777" w:rsidR="007E239D" w:rsidRPr="00654988" w:rsidRDefault="007E239D" w:rsidP="00027217">
            <w:pPr>
              <w:rPr>
                <w:rFonts w:ascii="Arial" w:hAnsi="Arial" w:cs="Arial"/>
                <w:shd w:val="clear" w:color="auto" w:fill="FFFFFF"/>
              </w:rPr>
            </w:pPr>
            <w:r w:rsidRPr="00654988">
              <w:rPr>
                <w:rFonts w:ascii="Arial" w:hAnsi="Arial" w:cs="Arial"/>
                <w:b/>
                <w:shd w:val="clear" w:color="auto" w:fill="FFFFFF"/>
              </w:rPr>
              <w:t>ATG7</w:t>
            </w:r>
          </w:p>
        </w:tc>
      </w:tr>
      <w:tr w:rsidR="00141A88" w:rsidRPr="00654988" w14:paraId="5AB48F27" w14:textId="77777777" w:rsidTr="00244380">
        <w:tc>
          <w:tcPr>
            <w:tcW w:w="2980" w:type="dxa"/>
            <w:gridSpan w:val="2"/>
          </w:tcPr>
          <w:p w14:paraId="6868D615" w14:textId="77777777" w:rsidR="00141A88" w:rsidRPr="00654988" w:rsidRDefault="00141A88" w:rsidP="00027217">
            <w:pPr>
              <w:rPr>
                <w:rFonts w:ascii="Arial" w:hAnsi="Arial" w:cs="Arial"/>
                <w:sz w:val="20"/>
                <w:szCs w:val="20"/>
                <w:shd w:val="clear" w:color="auto" w:fill="FFFFFF"/>
              </w:rPr>
            </w:pPr>
            <w:r w:rsidRPr="00654988">
              <w:rPr>
                <w:rFonts w:ascii="Arial" w:hAnsi="Arial" w:cs="Arial"/>
                <w:sz w:val="20"/>
                <w:szCs w:val="20"/>
                <w:shd w:val="clear" w:color="auto" w:fill="FFFFFF"/>
              </w:rPr>
              <w:t>K419</w:t>
            </w:r>
          </w:p>
        </w:tc>
        <w:tc>
          <w:tcPr>
            <w:tcW w:w="6654" w:type="dxa"/>
          </w:tcPr>
          <w:p w14:paraId="18E9C197" w14:textId="77777777" w:rsidR="00141A88" w:rsidRPr="00654988" w:rsidRDefault="00141A88" w:rsidP="00496BA5">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6E10EA18" w14:textId="77777777" w:rsidTr="00244380">
        <w:trPr>
          <w:gridAfter w:val="1"/>
          <w:wAfter w:w="6654" w:type="dxa"/>
        </w:trPr>
        <w:tc>
          <w:tcPr>
            <w:tcW w:w="2980" w:type="dxa"/>
            <w:gridSpan w:val="2"/>
          </w:tcPr>
          <w:p w14:paraId="5BE4A814" w14:textId="77777777" w:rsidR="007E239D" w:rsidRPr="00654988" w:rsidRDefault="007E239D" w:rsidP="00580F8A">
            <w:pPr>
              <w:rPr>
                <w:rFonts w:ascii="Arial" w:hAnsi="Arial" w:cs="Arial"/>
                <w:shd w:val="clear" w:color="auto" w:fill="FFFFFF"/>
              </w:rPr>
            </w:pPr>
            <w:r w:rsidRPr="00654988">
              <w:rPr>
                <w:rFonts w:ascii="Arial" w:hAnsi="Arial" w:cs="Arial"/>
                <w:b/>
                <w:shd w:val="clear" w:color="auto" w:fill="FFFFFF"/>
              </w:rPr>
              <w:t>ATG4A</w:t>
            </w:r>
          </w:p>
        </w:tc>
      </w:tr>
      <w:tr w:rsidR="00141A88" w:rsidRPr="00654988" w14:paraId="056B1134" w14:textId="77777777" w:rsidTr="00244380">
        <w:tc>
          <w:tcPr>
            <w:tcW w:w="2980" w:type="dxa"/>
            <w:gridSpan w:val="2"/>
          </w:tcPr>
          <w:p w14:paraId="19F18AF7" w14:textId="77777777" w:rsidR="00141A88" w:rsidRPr="00654988" w:rsidRDefault="00141A88" w:rsidP="00580F8A">
            <w:pPr>
              <w:rPr>
                <w:rFonts w:ascii="Arial" w:hAnsi="Arial" w:cs="Arial"/>
                <w:sz w:val="20"/>
                <w:szCs w:val="20"/>
                <w:highlight w:val="yellow"/>
                <w:shd w:val="clear" w:color="auto" w:fill="FFFFFF"/>
              </w:rPr>
            </w:pPr>
            <w:r w:rsidRPr="00654988">
              <w:rPr>
                <w:rFonts w:ascii="Arial" w:hAnsi="Arial" w:cs="Arial"/>
                <w:sz w:val="20"/>
                <w:szCs w:val="20"/>
                <w:shd w:val="clear" w:color="auto" w:fill="FFFFFF"/>
              </w:rPr>
              <w:t>No sites reported in our study.</w:t>
            </w:r>
          </w:p>
        </w:tc>
        <w:tc>
          <w:tcPr>
            <w:tcW w:w="6654" w:type="dxa"/>
          </w:tcPr>
          <w:p w14:paraId="626CDD1A" w14:textId="77777777" w:rsidR="00141A88" w:rsidRPr="00654988" w:rsidRDefault="00141A88" w:rsidP="00580F8A">
            <w:pPr>
              <w:rPr>
                <w:rFonts w:ascii="Arial" w:hAnsi="Arial" w:cs="Arial"/>
                <w:sz w:val="20"/>
                <w:szCs w:val="20"/>
                <w:highlight w:val="yellow"/>
                <w:shd w:val="clear" w:color="auto" w:fill="FFFFFF"/>
              </w:rPr>
            </w:pPr>
          </w:p>
        </w:tc>
      </w:tr>
      <w:tr w:rsidR="007E239D" w:rsidRPr="00654988" w14:paraId="7A2E2C2D" w14:textId="77777777" w:rsidTr="00244380">
        <w:trPr>
          <w:gridAfter w:val="1"/>
          <w:wAfter w:w="6654" w:type="dxa"/>
        </w:trPr>
        <w:tc>
          <w:tcPr>
            <w:tcW w:w="2980" w:type="dxa"/>
            <w:gridSpan w:val="2"/>
          </w:tcPr>
          <w:p w14:paraId="777FBACC" w14:textId="77777777" w:rsidR="007E239D" w:rsidRPr="00654988" w:rsidRDefault="007E239D" w:rsidP="00580F8A">
            <w:pPr>
              <w:rPr>
                <w:rFonts w:ascii="Arial" w:hAnsi="Arial" w:cs="Arial"/>
                <w:shd w:val="clear" w:color="auto" w:fill="FFFFFF"/>
              </w:rPr>
            </w:pPr>
            <w:r w:rsidRPr="00654988">
              <w:rPr>
                <w:rFonts w:ascii="Arial" w:hAnsi="Arial" w:cs="Arial"/>
                <w:b/>
                <w:shd w:val="clear" w:color="auto" w:fill="FFFFFF"/>
              </w:rPr>
              <w:t>ATG4B</w:t>
            </w:r>
          </w:p>
        </w:tc>
      </w:tr>
      <w:tr w:rsidR="00141A88" w:rsidRPr="00654988" w14:paraId="4DB23653" w14:textId="77777777" w:rsidTr="00244380">
        <w:tc>
          <w:tcPr>
            <w:tcW w:w="2980" w:type="dxa"/>
            <w:gridSpan w:val="2"/>
          </w:tcPr>
          <w:p w14:paraId="5861B527" w14:textId="77777777" w:rsidR="00141A88" w:rsidRPr="00654988" w:rsidRDefault="00141A88" w:rsidP="00355B13">
            <w:pPr>
              <w:rPr>
                <w:rFonts w:ascii="Arial" w:hAnsi="Arial" w:cs="Arial"/>
                <w:sz w:val="20"/>
                <w:szCs w:val="20"/>
                <w:shd w:val="clear" w:color="auto" w:fill="FFFFFF"/>
              </w:rPr>
            </w:pPr>
            <w:r w:rsidRPr="00654988">
              <w:rPr>
                <w:rFonts w:ascii="Arial" w:hAnsi="Arial" w:cs="Arial"/>
                <w:sz w:val="20"/>
                <w:szCs w:val="20"/>
                <w:shd w:val="clear" w:color="auto" w:fill="FFFFFF"/>
              </w:rPr>
              <w:t>K154</w:t>
            </w:r>
          </w:p>
        </w:tc>
        <w:tc>
          <w:tcPr>
            <w:tcW w:w="6654" w:type="dxa"/>
          </w:tcPr>
          <w:p w14:paraId="376F8E48" w14:textId="77777777" w:rsidR="00141A88" w:rsidRPr="00654988" w:rsidRDefault="00141A88" w:rsidP="00355B13">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105C1473" w14:textId="77777777" w:rsidTr="00244380">
        <w:trPr>
          <w:gridAfter w:val="1"/>
          <w:wAfter w:w="6654" w:type="dxa"/>
        </w:trPr>
        <w:tc>
          <w:tcPr>
            <w:tcW w:w="2980" w:type="dxa"/>
            <w:gridSpan w:val="2"/>
          </w:tcPr>
          <w:p w14:paraId="48DAE3A5" w14:textId="77777777" w:rsidR="007E239D" w:rsidRPr="00654988" w:rsidRDefault="007E239D" w:rsidP="00355B13">
            <w:pPr>
              <w:rPr>
                <w:rFonts w:ascii="Arial" w:hAnsi="Arial" w:cs="Arial"/>
                <w:shd w:val="clear" w:color="auto" w:fill="FFFFFF"/>
              </w:rPr>
            </w:pPr>
            <w:r w:rsidRPr="00654988">
              <w:rPr>
                <w:rFonts w:ascii="Arial" w:hAnsi="Arial" w:cs="Arial"/>
                <w:b/>
                <w:shd w:val="clear" w:color="auto" w:fill="FFFFFF"/>
              </w:rPr>
              <w:t>MLP3A/LC3</w:t>
            </w:r>
          </w:p>
        </w:tc>
      </w:tr>
      <w:tr w:rsidR="00141A88" w:rsidRPr="00654988" w14:paraId="7CB21BA9" w14:textId="77777777" w:rsidTr="00244380">
        <w:tc>
          <w:tcPr>
            <w:tcW w:w="2980" w:type="dxa"/>
            <w:gridSpan w:val="2"/>
          </w:tcPr>
          <w:p w14:paraId="37893BA5" w14:textId="77777777" w:rsidR="00141A88" w:rsidRPr="00654988" w:rsidRDefault="00141A88" w:rsidP="0003595C">
            <w:pPr>
              <w:rPr>
                <w:rFonts w:ascii="Arial" w:hAnsi="Arial" w:cs="Arial"/>
                <w:sz w:val="20"/>
                <w:szCs w:val="20"/>
                <w:shd w:val="clear" w:color="auto" w:fill="FFFFFF"/>
              </w:rPr>
            </w:pPr>
            <w:r w:rsidRPr="00654988">
              <w:rPr>
                <w:rFonts w:ascii="Arial" w:hAnsi="Arial" w:cs="Arial"/>
                <w:sz w:val="20"/>
                <w:szCs w:val="20"/>
                <w:shd w:val="clear" w:color="auto" w:fill="FFFFFF"/>
              </w:rPr>
              <w:t>K39</w:t>
            </w:r>
          </w:p>
        </w:tc>
        <w:tc>
          <w:tcPr>
            <w:tcW w:w="6654" w:type="dxa"/>
          </w:tcPr>
          <w:p w14:paraId="26C207CD" w14:textId="77777777" w:rsidR="00141A88" w:rsidRPr="00654988" w:rsidRDefault="00141A88" w:rsidP="0003595C">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0CEF69B5" w14:textId="77777777" w:rsidTr="00244380">
        <w:tc>
          <w:tcPr>
            <w:tcW w:w="2980" w:type="dxa"/>
            <w:gridSpan w:val="2"/>
          </w:tcPr>
          <w:p w14:paraId="57DC1A94" w14:textId="77777777" w:rsidR="00141A88" w:rsidRPr="00654988" w:rsidRDefault="00141A88" w:rsidP="0003595C">
            <w:pPr>
              <w:rPr>
                <w:rFonts w:ascii="Arial" w:hAnsi="Arial" w:cs="Arial"/>
                <w:sz w:val="20"/>
                <w:szCs w:val="20"/>
                <w:highlight w:val="yellow"/>
                <w:shd w:val="clear" w:color="auto" w:fill="FFFFFF"/>
              </w:rPr>
            </w:pPr>
            <w:r w:rsidRPr="00654988">
              <w:rPr>
                <w:rFonts w:ascii="Arial" w:hAnsi="Arial" w:cs="Arial"/>
                <w:sz w:val="20"/>
                <w:szCs w:val="20"/>
                <w:shd w:val="clear" w:color="auto" w:fill="FFFFFF"/>
              </w:rPr>
              <w:t>K42</w:t>
            </w:r>
          </w:p>
        </w:tc>
        <w:tc>
          <w:tcPr>
            <w:tcW w:w="6654" w:type="dxa"/>
          </w:tcPr>
          <w:p w14:paraId="31F48718" w14:textId="77777777" w:rsidR="00141A88" w:rsidRPr="00654988" w:rsidRDefault="00141A88" w:rsidP="0003595C">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1F5E1821" w14:textId="77777777" w:rsidTr="00244380">
        <w:trPr>
          <w:gridAfter w:val="1"/>
          <w:wAfter w:w="6654" w:type="dxa"/>
        </w:trPr>
        <w:tc>
          <w:tcPr>
            <w:tcW w:w="2980" w:type="dxa"/>
            <w:gridSpan w:val="2"/>
          </w:tcPr>
          <w:p w14:paraId="57B6EAE4" w14:textId="77777777" w:rsidR="007E239D" w:rsidRPr="00654988" w:rsidRDefault="007E239D" w:rsidP="0003595C">
            <w:pPr>
              <w:rPr>
                <w:rFonts w:ascii="Arial" w:hAnsi="Arial" w:cs="Arial"/>
                <w:sz w:val="20"/>
                <w:szCs w:val="20"/>
                <w:highlight w:val="yellow"/>
                <w:shd w:val="clear" w:color="auto" w:fill="FFFFFF"/>
              </w:rPr>
            </w:pPr>
            <w:r w:rsidRPr="00654988">
              <w:rPr>
                <w:rFonts w:ascii="Arial" w:hAnsi="Arial" w:cs="Arial"/>
                <w:b/>
                <w:shd w:val="clear" w:color="auto" w:fill="FFFFFF"/>
              </w:rPr>
              <w:t>TAX1BP1</w:t>
            </w:r>
          </w:p>
        </w:tc>
      </w:tr>
      <w:tr w:rsidR="00141A88" w:rsidRPr="00654988" w14:paraId="6B9EF455" w14:textId="77777777" w:rsidTr="00244380">
        <w:tc>
          <w:tcPr>
            <w:tcW w:w="2980" w:type="dxa"/>
            <w:gridSpan w:val="2"/>
          </w:tcPr>
          <w:p w14:paraId="77D061A8" w14:textId="77777777" w:rsidR="00141A88" w:rsidRPr="00654988" w:rsidRDefault="00141A88" w:rsidP="00DC2B84">
            <w:pPr>
              <w:rPr>
                <w:rFonts w:ascii="Arial" w:hAnsi="Arial" w:cs="Arial"/>
                <w:sz w:val="20"/>
                <w:szCs w:val="20"/>
                <w:shd w:val="clear" w:color="auto" w:fill="FFFFFF"/>
              </w:rPr>
            </w:pPr>
            <w:r w:rsidRPr="00654988">
              <w:rPr>
                <w:rFonts w:ascii="Arial" w:hAnsi="Arial" w:cs="Arial"/>
                <w:sz w:val="20"/>
                <w:szCs w:val="20"/>
                <w:shd w:val="clear" w:color="auto" w:fill="FFFFFF"/>
              </w:rPr>
              <w:t>S225</w:t>
            </w:r>
          </w:p>
        </w:tc>
        <w:tc>
          <w:tcPr>
            <w:tcW w:w="6654" w:type="dxa"/>
          </w:tcPr>
          <w:p w14:paraId="103F68AA" w14:textId="77777777" w:rsidR="00141A88" w:rsidRPr="00654988" w:rsidRDefault="00141A88" w:rsidP="00DC2B84">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8C4E314" w14:textId="77777777" w:rsidTr="00244380">
        <w:tc>
          <w:tcPr>
            <w:tcW w:w="2980" w:type="dxa"/>
            <w:gridSpan w:val="2"/>
          </w:tcPr>
          <w:p w14:paraId="4C105205" w14:textId="77777777" w:rsidR="00141A88" w:rsidRPr="00654988" w:rsidRDefault="00141A88" w:rsidP="003D0FD1">
            <w:pPr>
              <w:rPr>
                <w:rFonts w:ascii="Arial" w:hAnsi="Arial" w:cs="Arial"/>
                <w:sz w:val="20"/>
                <w:szCs w:val="20"/>
                <w:shd w:val="clear" w:color="auto" w:fill="FFFFFF"/>
              </w:rPr>
            </w:pPr>
            <w:r w:rsidRPr="00654988">
              <w:rPr>
                <w:rFonts w:ascii="Arial" w:hAnsi="Arial" w:cs="Arial"/>
                <w:sz w:val="20"/>
                <w:szCs w:val="20"/>
                <w:shd w:val="clear" w:color="auto" w:fill="FFFFFF"/>
              </w:rPr>
              <w:t>T426</w:t>
            </w:r>
          </w:p>
        </w:tc>
        <w:tc>
          <w:tcPr>
            <w:tcW w:w="6654" w:type="dxa"/>
          </w:tcPr>
          <w:p w14:paraId="29276E72" w14:textId="77777777" w:rsidR="00141A88" w:rsidRPr="00654988" w:rsidRDefault="00141A88" w:rsidP="003D0FD1">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560E67FD" w14:textId="77777777" w:rsidTr="00244380">
        <w:tc>
          <w:tcPr>
            <w:tcW w:w="2980" w:type="dxa"/>
            <w:gridSpan w:val="2"/>
          </w:tcPr>
          <w:p w14:paraId="64486409" w14:textId="77777777" w:rsidR="00141A88" w:rsidRPr="00654988" w:rsidRDefault="00141A88" w:rsidP="003D0FD1">
            <w:pPr>
              <w:rPr>
                <w:rFonts w:ascii="Arial" w:hAnsi="Arial" w:cs="Arial"/>
                <w:sz w:val="20"/>
                <w:szCs w:val="20"/>
                <w:shd w:val="clear" w:color="auto" w:fill="FFFFFF"/>
              </w:rPr>
            </w:pPr>
            <w:r w:rsidRPr="00654988">
              <w:rPr>
                <w:rFonts w:ascii="Arial" w:hAnsi="Arial" w:cs="Arial"/>
                <w:sz w:val="20"/>
                <w:szCs w:val="20"/>
                <w:shd w:val="clear" w:color="auto" w:fill="FFFFFF"/>
              </w:rPr>
              <w:t>T494</w:t>
            </w:r>
          </w:p>
        </w:tc>
        <w:tc>
          <w:tcPr>
            <w:tcW w:w="6654" w:type="dxa"/>
          </w:tcPr>
          <w:p w14:paraId="48328B14" w14:textId="77777777" w:rsidR="00141A88" w:rsidRPr="00654988" w:rsidRDefault="00141A88" w:rsidP="003D0FD1">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56BD771E" w14:textId="77777777" w:rsidTr="00244380">
        <w:tc>
          <w:tcPr>
            <w:tcW w:w="2980" w:type="dxa"/>
            <w:gridSpan w:val="2"/>
          </w:tcPr>
          <w:p w14:paraId="01B83A11" w14:textId="77777777" w:rsidR="00141A88" w:rsidRPr="00654988" w:rsidRDefault="00141A88" w:rsidP="008E38CB">
            <w:pPr>
              <w:rPr>
                <w:rFonts w:ascii="Arial" w:hAnsi="Arial" w:cs="Arial"/>
                <w:sz w:val="20"/>
                <w:szCs w:val="20"/>
                <w:shd w:val="clear" w:color="auto" w:fill="FFFFFF"/>
              </w:rPr>
            </w:pPr>
            <w:r w:rsidRPr="00654988">
              <w:rPr>
                <w:rFonts w:ascii="Arial" w:hAnsi="Arial" w:cs="Arial"/>
                <w:sz w:val="20"/>
                <w:szCs w:val="20"/>
                <w:shd w:val="clear" w:color="auto" w:fill="FFFFFF"/>
              </w:rPr>
              <w:t>S632</w:t>
            </w:r>
          </w:p>
        </w:tc>
        <w:tc>
          <w:tcPr>
            <w:tcW w:w="6654" w:type="dxa"/>
          </w:tcPr>
          <w:p w14:paraId="139859E6" w14:textId="77777777" w:rsidR="00141A88" w:rsidRPr="00654988" w:rsidRDefault="00141A88" w:rsidP="008E38CB">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3076B010" w14:textId="77777777" w:rsidTr="00244380">
        <w:tc>
          <w:tcPr>
            <w:tcW w:w="2980" w:type="dxa"/>
            <w:gridSpan w:val="2"/>
          </w:tcPr>
          <w:p w14:paraId="3D8F8AF9" w14:textId="77777777" w:rsidR="00141A88" w:rsidRPr="00654988" w:rsidRDefault="00141A88" w:rsidP="008E38CB">
            <w:pPr>
              <w:rPr>
                <w:rFonts w:ascii="Arial" w:hAnsi="Arial" w:cs="Arial"/>
                <w:sz w:val="20"/>
                <w:szCs w:val="20"/>
                <w:shd w:val="clear" w:color="auto" w:fill="FFFFFF"/>
              </w:rPr>
            </w:pPr>
            <w:r w:rsidRPr="00654988">
              <w:rPr>
                <w:rFonts w:ascii="Arial" w:hAnsi="Arial" w:cs="Arial"/>
                <w:sz w:val="20"/>
                <w:szCs w:val="20"/>
                <w:shd w:val="clear" w:color="auto" w:fill="FFFFFF"/>
              </w:rPr>
              <w:t>S637</w:t>
            </w:r>
          </w:p>
        </w:tc>
        <w:tc>
          <w:tcPr>
            <w:tcW w:w="6654" w:type="dxa"/>
          </w:tcPr>
          <w:p w14:paraId="46D33A77" w14:textId="77777777" w:rsidR="00141A88" w:rsidRPr="00654988" w:rsidRDefault="00141A88" w:rsidP="008E38CB">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1C7FF2ED" w14:textId="77777777" w:rsidTr="00244380">
        <w:trPr>
          <w:trHeight w:val="234"/>
        </w:trPr>
        <w:tc>
          <w:tcPr>
            <w:tcW w:w="2980" w:type="dxa"/>
            <w:gridSpan w:val="2"/>
          </w:tcPr>
          <w:p w14:paraId="544D1E91" w14:textId="77777777" w:rsidR="00141A88" w:rsidRPr="00654988" w:rsidRDefault="00141A88" w:rsidP="008E38CB">
            <w:pPr>
              <w:rPr>
                <w:rFonts w:ascii="Arial" w:hAnsi="Arial" w:cs="Arial"/>
                <w:sz w:val="20"/>
                <w:szCs w:val="20"/>
                <w:shd w:val="clear" w:color="auto" w:fill="FFFFFF"/>
              </w:rPr>
            </w:pPr>
            <w:r w:rsidRPr="00654988">
              <w:rPr>
                <w:rFonts w:ascii="Arial" w:hAnsi="Arial" w:cs="Arial"/>
                <w:sz w:val="20"/>
                <w:szCs w:val="20"/>
                <w:shd w:val="clear" w:color="auto" w:fill="FFFFFF"/>
              </w:rPr>
              <w:t>S693</w:t>
            </w:r>
          </w:p>
        </w:tc>
        <w:tc>
          <w:tcPr>
            <w:tcW w:w="6654" w:type="dxa"/>
          </w:tcPr>
          <w:p w14:paraId="2D9A88D4" w14:textId="128C06A7" w:rsidR="00141A88" w:rsidRPr="00654988" w:rsidRDefault="00DD4BDA" w:rsidP="00DD4BDA">
            <w:pPr>
              <w:pStyle w:val="ListParagraph"/>
              <w:numPr>
                <w:ilvl w:val="0"/>
                <w:numId w:val="10"/>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Shembade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{"citationID":"LQIAhUov","properties":{"formattedCitation":"(Shembade et al., 2011)","plainCitation":"(Shembade et al., 2011)","noteIndex":0},"citationItems":[{"id":2669,"uris":["http://zotero.org/groups/2342045/items/X2VI6IR8"],"uri":["http://zotero.org/groups/2342045/items/X2VI6IR8"],"itemData":{"id":2669,"type":"article-journal","abstract":"The deubiquitinase A20 limits excessive cytokine expression by shutting down activation of the transcription factor NF-κB. Harhaj and colleagues show that the kinase IKKα activates the A20 ubiquitin-editing complex by phosphorylating the regulatory molecule TAX1BP1.","container-title":"Nature Immunology","DOI":"10.1038/ni.2066","ISSN":"1529-2916","issue":"9","language":"en","note":"number: 9\npublisher: Nature Publishing Group","page":"834-843","source":"www.nature.com","title":"The kinase IKKα inhibits activation of the transcription factor NF-κB by phosphorylating the regulatory molecule TAX1BP1","volume":"12","author":[{"family":"Shembade","given":"Noula"},{"family":"Pujari","given":"Rajeshree"},{"family":"Harhaj","given":"Nicole S."},{"family":"Abbott","given":"Derek W."},{"family":"Harhaj","given":"Edward W."}],"issued":{"date-parts":[["2011",9]]}}}],"schema":"https://github.com/citation-style-language/schema/raw/master/csl-citation.json"}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(Shembade et al., 2011)</w:t>
            </w:r>
            <w:r>
              <w:rPr>
                <w:rFonts w:ascii="Arial" w:hAnsi="Arial" w:cs="Arial"/>
                <w:sz w:val="20"/>
                <w:szCs w:val="20"/>
                <w:shd w:val="clear" w:color="auto" w:fill="FFFFFF"/>
              </w:rPr>
              <w:fldChar w:fldCharType="end"/>
            </w:r>
            <w:r>
              <w:rPr>
                <w:rFonts w:ascii="Arial" w:hAnsi="Arial" w:cs="Arial"/>
                <w:sz w:val="20"/>
                <w:szCs w:val="20"/>
                <w:shd w:val="clear" w:color="auto" w:fill="FFFFFF"/>
              </w:rPr>
              <w:t xml:space="preserve"> </w:t>
            </w:r>
            <w:r w:rsidR="00141A88" w:rsidRPr="00654988">
              <w:rPr>
                <w:rFonts w:ascii="Arial" w:hAnsi="Arial" w:cs="Arial"/>
                <w:sz w:val="20"/>
                <w:szCs w:val="20"/>
                <w:shd w:val="clear" w:color="auto" w:fill="FFFFFF"/>
              </w:rPr>
              <w:t>describe</w:t>
            </w:r>
            <w:r w:rsidR="004D28AF" w:rsidRPr="00654988">
              <w:rPr>
                <w:rFonts w:ascii="Arial" w:hAnsi="Arial" w:cs="Arial"/>
                <w:sz w:val="20"/>
                <w:szCs w:val="20"/>
                <w:shd w:val="clear" w:color="auto" w:fill="FFFFFF"/>
              </w:rPr>
              <w:t>d</w:t>
            </w:r>
            <w:r w:rsidR="00141A88" w:rsidRPr="00654988">
              <w:rPr>
                <w:rFonts w:ascii="Arial" w:hAnsi="Arial" w:cs="Arial"/>
                <w:sz w:val="20"/>
                <w:szCs w:val="20"/>
                <w:shd w:val="clear" w:color="auto" w:fill="FFFFFF"/>
              </w:rPr>
              <w:t xml:space="preserve"> that IKK</w:t>
            </w:r>
            <w:r w:rsidR="00141A88" w:rsidRPr="00654988">
              <w:rPr>
                <w:rFonts w:ascii="Symbol" w:hAnsi="Symbol" w:cs="Arial"/>
                <w:sz w:val="20"/>
                <w:szCs w:val="20"/>
                <w:shd w:val="clear" w:color="auto" w:fill="FFFFFF"/>
              </w:rPr>
              <w:t></w:t>
            </w:r>
            <w:r w:rsidR="00141A88" w:rsidRPr="00654988">
              <w:rPr>
                <w:rFonts w:ascii="Arial" w:hAnsi="Arial" w:cs="Arial"/>
                <w:sz w:val="20"/>
                <w:szCs w:val="20"/>
                <w:shd w:val="clear" w:color="auto" w:fill="FFFFFF"/>
              </w:rPr>
              <w:t xml:space="preserve"> phosphorylates </w:t>
            </w:r>
            <w:r w:rsidR="00E36745" w:rsidRPr="00654988">
              <w:rPr>
                <w:rFonts w:ascii="Arial" w:hAnsi="Arial" w:cs="Arial"/>
                <w:sz w:val="20"/>
                <w:szCs w:val="20"/>
                <w:shd w:val="clear" w:color="auto" w:fill="FFFFFF"/>
              </w:rPr>
              <w:t xml:space="preserve">this site, which </w:t>
            </w:r>
            <w:r w:rsidR="00141A88" w:rsidRPr="00654988">
              <w:rPr>
                <w:rFonts w:ascii="Arial" w:hAnsi="Arial" w:cs="Arial"/>
                <w:sz w:val="20"/>
                <w:szCs w:val="20"/>
                <w:shd w:val="clear" w:color="auto" w:fill="FFFFFF"/>
              </w:rPr>
              <w:t>regulates Tax1BP1, RNF11, A20 assembly. This complex mediates negative feedback of NF-kB signaling</w:t>
            </w:r>
          </w:p>
        </w:tc>
      </w:tr>
      <w:tr w:rsidR="00141A88" w:rsidRPr="00654988" w14:paraId="673E2004" w14:textId="77777777" w:rsidTr="00244380">
        <w:tc>
          <w:tcPr>
            <w:tcW w:w="2980" w:type="dxa"/>
            <w:gridSpan w:val="2"/>
          </w:tcPr>
          <w:p w14:paraId="739733A1" w14:textId="77777777" w:rsidR="00141A88" w:rsidRPr="00654988" w:rsidRDefault="00141A88" w:rsidP="008E38CB">
            <w:pPr>
              <w:rPr>
                <w:rFonts w:ascii="Arial" w:hAnsi="Arial" w:cs="Arial"/>
                <w:sz w:val="20"/>
                <w:szCs w:val="20"/>
                <w:shd w:val="clear" w:color="auto" w:fill="FFFFFF"/>
              </w:rPr>
            </w:pPr>
            <w:r w:rsidRPr="00654988">
              <w:rPr>
                <w:rFonts w:ascii="Arial" w:hAnsi="Arial" w:cs="Arial"/>
                <w:sz w:val="20"/>
                <w:szCs w:val="20"/>
                <w:shd w:val="clear" w:color="auto" w:fill="FFFFFF"/>
              </w:rPr>
              <w:t>S708</w:t>
            </w:r>
          </w:p>
        </w:tc>
        <w:tc>
          <w:tcPr>
            <w:tcW w:w="6654" w:type="dxa"/>
          </w:tcPr>
          <w:p w14:paraId="0AA496E9" w14:textId="77777777" w:rsidR="00141A88" w:rsidRPr="00654988" w:rsidRDefault="00141A88" w:rsidP="008E38CB">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2D694AC0" w14:textId="77777777" w:rsidTr="00244380">
        <w:tc>
          <w:tcPr>
            <w:tcW w:w="2980" w:type="dxa"/>
            <w:gridSpan w:val="2"/>
          </w:tcPr>
          <w:p w14:paraId="555F1C35"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K284</w:t>
            </w:r>
          </w:p>
        </w:tc>
        <w:tc>
          <w:tcPr>
            <w:tcW w:w="6654" w:type="dxa"/>
          </w:tcPr>
          <w:p w14:paraId="3CCA0687"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080EFF4F" w14:textId="77777777" w:rsidTr="00244380">
        <w:tc>
          <w:tcPr>
            <w:tcW w:w="2980" w:type="dxa"/>
            <w:gridSpan w:val="2"/>
          </w:tcPr>
          <w:p w14:paraId="3B657C32"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K311</w:t>
            </w:r>
          </w:p>
        </w:tc>
        <w:tc>
          <w:tcPr>
            <w:tcW w:w="6654" w:type="dxa"/>
          </w:tcPr>
          <w:p w14:paraId="3F5A58D7"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745F0088" w14:textId="77777777" w:rsidTr="00244380">
        <w:tc>
          <w:tcPr>
            <w:tcW w:w="2980" w:type="dxa"/>
            <w:gridSpan w:val="2"/>
          </w:tcPr>
          <w:p w14:paraId="42652CF3"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K479</w:t>
            </w:r>
          </w:p>
        </w:tc>
        <w:tc>
          <w:tcPr>
            <w:tcW w:w="6654" w:type="dxa"/>
          </w:tcPr>
          <w:p w14:paraId="3E7A4968"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A99EAE4" w14:textId="77777777" w:rsidTr="00244380">
        <w:tc>
          <w:tcPr>
            <w:tcW w:w="2980" w:type="dxa"/>
            <w:gridSpan w:val="2"/>
          </w:tcPr>
          <w:p w14:paraId="7BA454DE"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K536</w:t>
            </w:r>
          </w:p>
        </w:tc>
        <w:tc>
          <w:tcPr>
            <w:tcW w:w="6654" w:type="dxa"/>
          </w:tcPr>
          <w:p w14:paraId="6A58C567"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76459BE6" w14:textId="77777777" w:rsidTr="00244380">
        <w:tc>
          <w:tcPr>
            <w:tcW w:w="2980" w:type="dxa"/>
            <w:gridSpan w:val="2"/>
          </w:tcPr>
          <w:p w14:paraId="2DD50AF1"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K551</w:t>
            </w:r>
          </w:p>
        </w:tc>
        <w:tc>
          <w:tcPr>
            <w:tcW w:w="6654" w:type="dxa"/>
          </w:tcPr>
          <w:p w14:paraId="6111786B"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4E7A7ADA" w14:textId="77777777" w:rsidTr="00244380">
        <w:tc>
          <w:tcPr>
            <w:tcW w:w="2980" w:type="dxa"/>
            <w:gridSpan w:val="2"/>
          </w:tcPr>
          <w:p w14:paraId="677AD07F"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K563</w:t>
            </w:r>
          </w:p>
        </w:tc>
        <w:tc>
          <w:tcPr>
            <w:tcW w:w="6654" w:type="dxa"/>
          </w:tcPr>
          <w:p w14:paraId="6D9D8169"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8673FCF" w14:textId="77777777" w:rsidTr="00244380">
        <w:tc>
          <w:tcPr>
            <w:tcW w:w="2980" w:type="dxa"/>
            <w:gridSpan w:val="2"/>
          </w:tcPr>
          <w:p w14:paraId="4BC7D1A4"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K618</w:t>
            </w:r>
          </w:p>
        </w:tc>
        <w:tc>
          <w:tcPr>
            <w:tcW w:w="6654" w:type="dxa"/>
          </w:tcPr>
          <w:p w14:paraId="4BC24F41"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5BA3D312" w14:textId="77777777" w:rsidTr="00244380">
        <w:tc>
          <w:tcPr>
            <w:tcW w:w="2980" w:type="dxa"/>
            <w:gridSpan w:val="2"/>
          </w:tcPr>
          <w:p w14:paraId="2C07E82E"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K624</w:t>
            </w:r>
          </w:p>
        </w:tc>
        <w:tc>
          <w:tcPr>
            <w:tcW w:w="6654" w:type="dxa"/>
          </w:tcPr>
          <w:p w14:paraId="4662E97A"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3328F7A4" w14:textId="77777777" w:rsidTr="00244380">
        <w:tc>
          <w:tcPr>
            <w:tcW w:w="2980" w:type="dxa"/>
            <w:gridSpan w:val="2"/>
          </w:tcPr>
          <w:p w14:paraId="36E54D01"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K627</w:t>
            </w:r>
          </w:p>
        </w:tc>
        <w:tc>
          <w:tcPr>
            <w:tcW w:w="6654" w:type="dxa"/>
          </w:tcPr>
          <w:p w14:paraId="15C7F5AF" w14:textId="77777777" w:rsidR="00141A88" w:rsidRPr="00654988" w:rsidRDefault="00141A88" w:rsidP="00801297">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389F0016" w14:textId="77777777" w:rsidTr="00244380">
        <w:trPr>
          <w:gridAfter w:val="1"/>
          <w:wAfter w:w="6654" w:type="dxa"/>
        </w:trPr>
        <w:tc>
          <w:tcPr>
            <w:tcW w:w="2980" w:type="dxa"/>
            <w:gridSpan w:val="2"/>
          </w:tcPr>
          <w:p w14:paraId="45B129D7" w14:textId="77777777" w:rsidR="007E239D" w:rsidRPr="00654988" w:rsidRDefault="007E239D" w:rsidP="00801297">
            <w:pPr>
              <w:rPr>
                <w:rFonts w:ascii="Arial" w:hAnsi="Arial" w:cs="Arial"/>
                <w:sz w:val="20"/>
                <w:szCs w:val="20"/>
                <w:highlight w:val="yellow"/>
                <w:shd w:val="clear" w:color="auto" w:fill="FFFFFF"/>
              </w:rPr>
            </w:pPr>
            <w:r w:rsidRPr="00654988">
              <w:rPr>
                <w:rFonts w:ascii="Arial" w:hAnsi="Arial" w:cs="Arial"/>
                <w:b/>
                <w:shd w:val="clear" w:color="auto" w:fill="FFFFFF"/>
              </w:rPr>
              <w:t>p62/SQSTM1</w:t>
            </w:r>
          </w:p>
        </w:tc>
      </w:tr>
      <w:tr w:rsidR="00141A88" w:rsidRPr="00654988" w14:paraId="16095711" w14:textId="77777777" w:rsidTr="00244380">
        <w:tc>
          <w:tcPr>
            <w:tcW w:w="2980" w:type="dxa"/>
            <w:gridSpan w:val="2"/>
          </w:tcPr>
          <w:p w14:paraId="46D323CF" w14:textId="77777777" w:rsidR="00141A88" w:rsidRPr="00654988" w:rsidRDefault="00141A88" w:rsidP="00670712">
            <w:pPr>
              <w:rPr>
                <w:rFonts w:ascii="Arial" w:hAnsi="Arial" w:cs="Arial"/>
                <w:sz w:val="20"/>
                <w:szCs w:val="20"/>
                <w:shd w:val="clear" w:color="auto" w:fill="FFFFFF"/>
              </w:rPr>
            </w:pPr>
            <w:r w:rsidRPr="00654988">
              <w:rPr>
                <w:rFonts w:ascii="Arial" w:hAnsi="Arial" w:cs="Arial"/>
                <w:sz w:val="20"/>
                <w:szCs w:val="20"/>
                <w:shd w:val="clear" w:color="auto" w:fill="FFFFFF"/>
              </w:rPr>
              <w:t>S24</w:t>
            </w:r>
          </w:p>
        </w:tc>
        <w:tc>
          <w:tcPr>
            <w:tcW w:w="6654" w:type="dxa"/>
          </w:tcPr>
          <w:p w14:paraId="2D11918B" w14:textId="77777777" w:rsidR="00141A88" w:rsidRPr="00654988" w:rsidRDefault="00141A88" w:rsidP="00670712">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279B58B9" w14:textId="77777777" w:rsidTr="00244380">
        <w:tc>
          <w:tcPr>
            <w:tcW w:w="2980" w:type="dxa"/>
            <w:gridSpan w:val="2"/>
          </w:tcPr>
          <w:p w14:paraId="7F5DEB48" w14:textId="77777777" w:rsidR="00141A88" w:rsidRPr="00654988" w:rsidRDefault="00141A88" w:rsidP="00801297">
            <w:pPr>
              <w:rPr>
                <w:rFonts w:ascii="Arial" w:hAnsi="Arial" w:cs="Arial"/>
                <w:sz w:val="20"/>
                <w:szCs w:val="20"/>
                <w:shd w:val="clear" w:color="auto" w:fill="FFFFFF"/>
              </w:rPr>
            </w:pPr>
            <w:r w:rsidRPr="00654988">
              <w:rPr>
                <w:rFonts w:ascii="Arial" w:hAnsi="Arial" w:cs="Arial"/>
                <w:sz w:val="20"/>
                <w:szCs w:val="20"/>
                <w:shd w:val="clear" w:color="auto" w:fill="FFFFFF"/>
              </w:rPr>
              <w:t>S28</w:t>
            </w:r>
          </w:p>
        </w:tc>
        <w:tc>
          <w:tcPr>
            <w:tcW w:w="6654" w:type="dxa"/>
          </w:tcPr>
          <w:p w14:paraId="51182DA1" w14:textId="7F695787" w:rsidR="00141A88" w:rsidRPr="00654988" w:rsidRDefault="00DD4BDA" w:rsidP="00DD4BDA">
            <w:pPr>
              <w:pStyle w:val="ListParagraph"/>
              <w:numPr>
                <w:ilvl w:val="0"/>
                <w:numId w:val="12"/>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Xu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{"citationID":"yRSMmaZg","properties":{"formattedCitation":"(Xu et al., 2019)","plainCitation":"(Xu et al., 2019)","noteIndex":0},"citationItems":[{"id":2663,"uris":["http://zotero.org/groups/2342045/items/8D4CVL3Z"],"uri":["http://zotero.org/groups/2342045/items/8D4CVL3Z"],"itemData":{"id":2663,"type":"article-journal","abstract":"Cancer cells often encounter oxidative stress. However, it is unclear whether normal and cancer cells differentially respond to oxidative stress. Here, we demonstrated that under oxidative stress, hepatocellular carcinoma (HCC) cells exhibit increased antioxidative response and survival rates compared to normal hepatocytes. Oxidative stimulation induces HCC-specifically expressed fructokinase A (KHK-A) phosphorylation at S80 by 5′-adenosine monophosphate-activated protein kinase. KHK-A in turn acts as a protein kinase to phosphorylate p62 at S28, thereby blocking p62 ubiquitination and enhancing p62’s aggregation with Keap1 and Nrf2 activation. Activated Nrf2 promotes expression of genes involved in reactive oxygen species reduction, cell survival, and HCC development in mice. In addition, phosphorylation of KHK-A S80 and p62 S28 and nuclear accumulation of Nrf2 are positively correlated in human HCC specimens and with poor prognosis of patients with HCC. These findings underscore the role of the protein kinase activity of KHK-A in antioxidative stress and HCC development.\nKHK-A, a metabolic enzyme in fructose metabolism, acts as a protein kinase to phosphorylate p62 for tumor antioxidant responses.\nKHK-A, a metabolic enzyme in fructose metabolism, acts as a protein kinase to phosphorylate p62 for tumor antioxidant responses.","container-title":"Science Advances","DOI":"10.1126/sciadv.aav4570","ISSN":"2375-2548","issue":"4","language":"en","note":"publisher: American Association for the Advancement of Science\nsection: Research Article","page":"eaav4570","source":"advances.sciencemag.org","title":"The protein kinase activity of fructokinase A specifies the antioxidant responses of tumor cells by phosphorylating p62","volume":"5","author":[{"family":"Xu","given":"Daqian"},{"family":"Li","given":"Xinjian"},{"family":"Shao","given":"Fei"},{"family":"Lv","given":"Guishuai"},{"family":"Lv","given":"Hongwei"},{"family":"Lee","given":"Jong-Ho"},{"family":"Qian","given":"Xu"},{"family":"Wang","given":"Zheng"},{"family":"Xia","given":"Yan"},{"family":"Du","given":"Linyong"},{"family":"Zheng","given":"Yanhua"},{"family":"Wang","given":"Hongyang"},{"family":"Lyu","given":"Jianxin"},{"family":"Lu","given":"Zhimin"}],"issued":{"date-parts":[["2019",4,1]]}}}],"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(Xu et al., 2019)</w:t>
            </w:r>
            <w:r>
              <w:rPr>
                <w:rFonts w:ascii="Arial" w:hAnsi="Arial" w:cs="Arial"/>
                <w:sz w:val="20"/>
                <w:szCs w:val="20"/>
                <w:shd w:val="clear" w:color="auto" w:fill="FFFFFF"/>
              </w:rPr>
              <w:fldChar w:fldCharType="end"/>
            </w:r>
            <w:r w:rsidR="00141A88" w:rsidRPr="00654988">
              <w:rPr>
                <w:rFonts w:ascii="Arial" w:hAnsi="Arial" w:cs="Arial"/>
                <w:sz w:val="20"/>
                <w:szCs w:val="20"/>
                <w:shd w:val="clear" w:color="auto" w:fill="FFFFFF"/>
              </w:rPr>
              <w:t xml:space="preserve"> report</w:t>
            </w:r>
            <w:r w:rsidR="004D28AF" w:rsidRPr="00654988">
              <w:rPr>
                <w:rFonts w:ascii="Arial" w:hAnsi="Arial" w:cs="Arial"/>
                <w:sz w:val="20"/>
                <w:szCs w:val="20"/>
                <w:shd w:val="clear" w:color="auto" w:fill="FFFFFF"/>
              </w:rPr>
              <w:t>ed</w:t>
            </w:r>
            <w:r w:rsidR="00141A88" w:rsidRPr="00654988">
              <w:rPr>
                <w:rFonts w:ascii="Arial" w:hAnsi="Arial" w:cs="Arial"/>
                <w:sz w:val="20"/>
                <w:szCs w:val="20"/>
                <w:shd w:val="clear" w:color="auto" w:fill="FFFFFF"/>
              </w:rPr>
              <w:t xml:space="preserve"> </w:t>
            </w:r>
            <w:r w:rsidR="008D2871">
              <w:rPr>
                <w:rFonts w:ascii="Arial" w:hAnsi="Arial" w:cs="Arial"/>
                <w:sz w:val="20"/>
                <w:szCs w:val="20"/>
                <w:shd w:val="clear" w:color="auto" w:fill="FFFFFF"/>
              </w:rPr>
              <w:t xml:space="preserve">p62 </w:t>
            </w:r>
            <w:r w:rsidR="00141A88" w:rsidRPr="00654988">
              <w:rPr>
                <w:rFonts w:ascii="Arial" w:hAnsi="Arial" w:cs="Arial"/>
                <w:sz w:val="20"/>
                <w:szCs w:val="20"/>
                <w:shd w:val="clear" w:color="auto" w:fill="FFFFFF"/>
              </w:rPr>
              <w:t>phosphorylation</w:t>
            </w:r>
            <w:r w:rsidR="008D2871">
              <w:rPr>
                <w:rFonts w:ascii="Arial" w:hAnsi="Arial" w:cs="Arial"/>
                <w:sz w:val="20"/>
                <w:szCs w:val="20"/>
                <w:shd w:val="clear" w:color="auto" w:fill="FFFFFF"/>
              </w:rPr>
              <w:t xml:space="preserve"> at S28</w:t>
            </w:r>
            <w:r w:rsidR="00141A88" w:rsidRPr="00654988">
              <w:rPr>
                <w:rFonts w:ascii="Arial" w:hAnsi="Arial" w:cs="Arial"/>
                <w:sz w:val="20"/>
                <w:szCs w:val="20"/>
                <w:shd w:val="clear" w:color="auto" w:fill="FFFFFF"/>
              </w:rPr>
              <w:t xml:space="preserve"> by fructokinase A in response to oxidative stress. This PTM subsequently blocks p62 ubiquitylation, resulting in p62 aggregation with Keap1 and activation of Nrf2</w:t>
            </w:r>
          </w:p>
        </w:tc>
      </w:tr>
      <w:tr w:rsidR="00141A88" w:rsidRPr="00654988" w14:paraId="01020AD8" w14:textId="77777777" w:rsidTr="00244380">
        <w:tc>
          <w:tcPr>
            <w:tcW w:w="2980" w:type="dxa"/>
            <w:gridSpan w:val="2"/>
          </w:tcPr>
          <w:p w14:paraId="0DA785E1" w14:textId="77777777" w:rsidR="00141A88" w:rsidRPr="00654988" w:rsidRDefault="00141A88" w:rsidP="00670712">
            <w:pPr>
              <w:rPr>
                <w:rFonts w:ascii="Arial" w:hAnsi="Arial" w:cs="Arial"/>
                <w:sz w:val="20"/>
                <w:szCs w:val="20"/>
                <w:shd w:val="clear" w:color="auto" w:fill="FFFFFF"/>
              </w:rPr>
            </w:pPr>
            <w:r w:rsidRPr="00654988">
              <w:rPr>
                <w:rFonts w:ascii="Arial" w:hAnsi="Arial" w:cs="Arial"/>
                <w:sz w:val="20"/>
                <w:szCs w:val="20"/>
                <w:shd w:val="clear" w:color="auto" w:fill="FFFFFF"/>
              </w:rPr>
              <w:t>S207</w:t>
            </w:r>
          </w:p>
        </w:tc>
        <w:tc>
          <w:tcPr>
            <w:tcW w:w="6654" w:type="dxa"/>
          </w:tcPr>
          <w:p w14:paraId="6EC7C5F4" w14:textId="77777777" w:rsidR="00141A88" w:rsidRPr="00654988" w:rsidRDefault="00141A88" w:rsidP="00670712">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162C8209" w14:textId="77777777" w:rsidTr="00244380">
        <w:tc>
          <w:tcPr>
            <w:tcW w:w="2980" w:type="dxa"/>
            <w:gridSpan w:val="2"/>
          </w:tcPr>
          <w:p w14:paraId="4666B4D8" w14:textId="77777777" w:rsidR="00141A88" w:rsidRPr="00654988" w:rsidRDefault="00141A88" w:rsidP="00670712">
            <w:pPr>
              <w:rPr>
                <w:rFonts w:ascii="Arial" w:hAnsi="Arial" w:cs="Arial"/>
                <w:sz w:val="20"/>
                <w:szCs w:val="20"/>
                <w:shd w:val="clear" w:color="auto" w:fill="FFFFFF"/>
              </w:rPr>
            </w:pPr>
            <w:r w:rsidRPr="00654988">
              <w:rPr>
                <w:rFonts w:ascii="Arial" w:hAnsi="Arial" w:cs="Arial"/>
                <w:sz w:val="20"/>
                <w:szCs w:val="20"/>
                <w:shd w:val="clear" w:color="auto" w:fill="FFFFFF"/>
              </w:rPr>
              <w:t>T221</w:t>
            </w:r>
          </w:p>
        </w:tc>
        <w:tc>
          <w:tcPr>
            <w:tcW w:w="6654" w:type="dxa"/>
          </w:tcPr>
          <w:p w14:paraId="6D349B08" w14:textId="77777777" w:rsidR="00141A88" w:rsidRPr="00654988" w:rsidRDefault="00141A88" w:rsidP="00670712">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10629B9" w14:textId="77777777" w:rsidTr="00244380">
        <w:tc>
          <w:tcPr>
            <w:tcW w:w="2980" w:type="dxa"/>
            <w:gridSpan w:val="2"/>
          </w:tcPr>
          <w:p w14:paraId="44855E1F" w14:textId="77777777" w:rsidR="00141A88" w:rsidRPr="00654988" w:rsidRDefault="00141A88" w:rsidP="00670712">
            <w:pPr>
              <w:rPr>
                <w:rFonts w:ascii="Arial" w:hAnsi="Arial" w:cs="Arial"/>
                <w:sz w:val="20"/>
                <w:szCs w:val="20"/>
                <w:shd w:val="clear" w:color="auto" w:fill="FFFFFF"/>
              </w:rPr>
            </w:pPr>
            <w:r w:rsidRPr="00654988">
              <w:rPr>
                <w:rFonts w:ascii="Arial" w:hAnsi="Arial" w:cs="Arial"/>
                <w:sz w:val="20"/>
                <w:szCs w:val="20"/>
                <w:shd w:val="clear" w:color="auto" w:fill="FFFFFF"/>
              </w:rPr>
              <w:t>S224</w:t>
            </w:r>
          </w:p>
        </w:tc>
        <w:tc>
          <w:tcPr>
            <w:tcW w:w="6654" w:type="dxa"/>
          </w:tcPr>
          <w:p w14:paraId="4B78B6B5" w14:textId="77777777" w:rsidR="00141A88" w:rsidRPr="00654988" w:rsidRDefault="00141A88" w:rsidP="00670712">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E2642A3" w14:textId="77777777" w:rsidTr="00244380">
        <w:tc>
          <w:tcPr>
            <w:tcW w:w="2980" w:type="dxa"/>
            <w:gridSpan w:val="2"/>
          </w:tcPr>
          <w:p w14:paraId="147B9499" w14:textId="77777777" w:rsidR="00141A88" w:rsidRPr="00654988" w:rsidRDefault="00141A88" w:rsidP="00670712">
            <w:pPr>
              <w:rPr>
                <w:rFonts w:ascii="Arial" w:hAnsi="Arial" w:cs="Arial"/>
                <w:sz w:val="20"/>
                <w:szCs w:val="20"/>
                <w:shd w:val="clear" w:color="auto" w:fill="FFFFFF"/>
              </w:rPr>
            </w:pPr>
            <w:r w:rsidRPr="00654988">
              <w:rPr>
                <w:rFonts w:ascii="Arial" w:hAnsi="Arial" w:cs="Arial"/>
                <w:sz w:val="20"/>
                <w:szCs w:val="20"/>
                <w:shd w:val="clear" w:color="auto" w:fill="FFFFFF"/>
              </w:rPr>
              <w:lastRenderedPageBreak/>
              <w:t>S226</w:t>
            </w:r>
          </w:p>
        </w:tc>
        <w:tc>
          <w:tcPr>
            <w:tcW w:w="6654" w:type="dxa"/>
          </w:tcPr>
          <w:p w14:paraId="640064C2" w14:textId="77777777" w:rsidR="00141A88" w:rsidRPr="00654988" w:rsidRDefault="00141A88" w:rsidP="00670712">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42F5B56" w14:textId="77777777" w:rsidTr="00244380">
        <w:tc>
          <w:tcPr>
            <w:tcW w:w="2980" w:type="dxa"/>
            <w:gridSpan w:val="2"/>
          </w:tcPr>
          <w:p w14:paraId="1CD75117"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S266</w:t>
            </w:r>
          </w:p>
        </w:tc>
        <w:tc>
          <w:tcPr>
            <w:tcW w:w="6654" w:type="dxa"/>
          </w:tcPr>
          <w:p w14:paraId="0B4EAC29"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01B8A694" w14:textId="77777777" w:rsidTr="00244380">
        <w:tc>
          <w:tcPr>
            <w:tcW w:w="2980" w:type="dxa"/>
            <w:gridSpan w:val="2"/>
          </w:tcPr>
          <w:p w14:paraId="07CFE629"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T269 and T272</w:t>
            </w:r>
          </w:p>
        </w:tc>
        <w:tc>
          <w:tcPr>
            <w:tcW w:w="6654" w:type="dxa"/>
          </w:tcPr>
          <w:p w14:paraId="4DBD664B" w14:textId="6DB63795" w:rsidR="00141A88" w:rsidRPr="00654988" w:rsidRDefault="00DD4BDA" w:rsidP="00E660BE">
            <w:pPr>
              <w:pStyle w:val="ListParagraph"/>
              <w:numPr>
                <w:ilvl w:val="0"/>
                <w:numId w:val="18"/>
              </w:numPr>
              <w:ind w:left="357" w:hanging="357"/>
              <w:rPr>
                <w:rFonts w:ascii="Arial" w:hAnsi="Arial" w:cs="Arial"/>
                <w:sz w:val="20"/>
                <w:szCs w:val="20"/>
                <w:shd w:val="clear" w:color="auto" w:fill="FFFFFF"/>
              </w:rPr>
            </w:pPr>
            <w:r>
              <w:rPr>
                <w:rFonts w:ascii="Arial" w:hAnsi="Arial" w:cs="Arial"/>
                <w:sz w:val="20"/>
                <w:szCs w:val="20"/>
              </w:rPr>
              <w:t xml:space="preserve">Linares </w:t>
            </w:r>
            <w:r w:rsidR="00932756">
              <w:rPr>
                <w:rFonts w:ascii="Arial" w:hAnsi="Arial" w:cs="Arial"/>
                <w:sz w:val="20"/>
                <w:szCs w:val="20"/>
              </w:rPr>
              <w:t>et al.</w:t>
            </w:r>
            <w:r>
              <w:rPr>
                <w:rFonts w:ascii="Arial" w:hAnsi="Arial" w:cs="Arial"/>
                <w:sz w:val="20"/>
                <w:szCs w:val="20"/>
              </w:rPr>
              <w:fldChar w:fldCharType="begin"/>
            </w:r>
            <w:r w:rsidR="008255B7">
              <w:rPr>
                <w:rFonts w:ascii="Arial" w:hAnsi="Arial" w:cs="Arial"/>
                <w:sz w:val="20"/>
                <w:szCs w:val="20"/>
              </w:rPr>
              <w:instrText xml:space="preserve"> ADDIN ZOTERO_ITEM CSL_CITATION {"citationID":"3IgOP8Sf","properties":{"formattedCitation":"(Linares et al., 2015)","plainCitation":"(Linares et al., 2015)","noteIndex":0},"citationItems":[{"id":2715,"uris":["http://zotero.org/groups/2342045/items/S8TXYRT8"],"uri":["http://zotero.org/groups/2342045/items/S8TXYRT8"],"itemData":{"id":2715,"type":"article-journal","abstract":"The mTORC1 complex is central to the cellular response to changes in nutrient availability. The signaling adaptor p62 contributes to mTORC1 activation in response to amino acids and interacts with TRAF6, which is required for the translocation of mTORC1 to the lysosome and the subsequent K63 polyubiquitination and activation of mTOR. However, the signal initiating these p62-driven processes was previously unknown. Here, we show that p62 is phosphorylated via a cascade that includes MEK3/6 and p38δ and is driven by the PB1-containing kinase MEKK3. This phosphorylation results in the recruitment of TRAF6 to p62, the ubiquitination and activation of mTOR, and the regulation of autophagy and cell proliferation. Genetic inactivation of MEKK3 or p38δ mimics that of p62 in that it leads to inhibited growth of PTEN-deficient prostate organoids. Analysis of human prostate cancer samples showed upregulation of these three components of the pathway, which correlated with enhanced mTORC1 activation.","container-title":"Cell Reports","DOI":"10.1016/j.celrep.2015.07.045","ISSN":"2211-1247","issue":"8","journalAbbreviation":"Cell Reports","language":"en","page":"1339-1352","source":"ScienceDirect","title":"Amino Acid Activation of mTORC1 by a PB1-Domain-Driven Kinase Complex Cascade","volume":"12","author":[{"family":"Linares","given":"Juan F."},{"family":"Duran","given":"Angeles"},{"family":"Reina-Campos","given":"Miguel"},{"family":"Aza-Blanc","given":"Pedro"},{"family":"Campos","given":"Alex"},{"family":"Moscat","given":"Jorge"},{"family":"Diaz-Meco","given":"Maria T."}],"issued":{"date-parts":[["2015",8,25]]}}}],"schema":"https://github.com/citation-style-language/schema/raw/master/csl-citation.json"} </w:instrText>
            </w:r>
            <w:r>
              <w:rPr>
                <w:rFonts w:ascii="Arial" w:hAnsi="Arial" w:cs="Arial"/>
                <w:sz w:val="20"/>
                <w:szCs w:val="20"/>
              </w:rPr>
              <w:fldChar w:fldCharType="separate"/>
            </w:r>
            <w:r w:rsidR="008255B7" w:rsidRPr="008255B7">
              <w:rPr>
                <w:rFonts w:ascii="Arial" w:hAnsi="Arial" w:cs="Arial"/>
                <w:sz w:val="20"/>
              </w:rPr>
              <w:t>(Linares et al., 2015)</w:t>
            </w:r>
            <w:r>
              <w:rPr>
                <w:rFonts w:ascii="Arial" w:hAnsi="Arial" w:cs="Arial"/>
                <w:sz w:val="20"/>
                <w:szCs w:val="20"/>
              </w:rPr>
              <w:fldChar w:fldCharType="end"/>
            </w:r>
            <w:r w:rsidR="00141A88" w:rsidRPr="00654988">
              <w:rPr>
                <w:rFonts w:ascii="Arial" w:hAnsi="Arial" w:cs="Arial"/>
                <w:sz w:val="20"/>
                <w:szCs w:val="20"/>
              </w:rPr>
              <w:t xml:space="preserve"> showed that p38/MEKK3</w:t>
            </w:r>
            <w:r w:rsidR="009231C9" w:rsidRPr="00654988">
              <w:rPr>
                <w:rFonts w:ascii="Arial" w:hAnsi="Arial" w:cs="Arial"/>
                <w:sz w:val="20"/>
                <w:szCs w:val="20"/>
              </w:rPr>
              <w:t xml:space="preserve"> mediates phosphorylation </w:t>
            </w:r>
            <w:r w:rsidR="008D2871">
              <w:rPr>
                <w:rFonts w:ascii="Arial" w:hAnsi="Arial" w:cs="Arial"/>
                <w:sz w:val="20"/>
                <w:szCs w:val="20"/>
              </w:rPr>
              <w:t>at</w:t>
            </w:r>
            <w:r w:rsidR="009231C9" w:rsidRPr="00654988">
              <w:rPr>
                <w:rFonts w:ascii="Arial" w:hAnsi="Arial" w:cs="Arial"/>
                <w:sz w:val="20"/>
                <w:szCs w:val="20"/>
              </w:rPr>
              <w:t xml:space="preserve"> these sites</w:t>
            </w:r>
            <w:r w:rsidR="00141A88" w:rsidRPr="00654988">
              <w:rPr>
                <w:rFonts w:ascii="Arial" w:hAnsi="Arial" w:cs="Arial"/>
                <w:sz w:val="20"/>
                <w:szCs w:val="20"/>
              </w:rPr>
              <w:t>. This results in TRAF6 recruitment and promote</w:t>
            </w:r>
            <w:r w:rsidR="009231C9" w:rsidRPr="00654988">
              <w:rPr>
                <w:rFonts w:ascii="Arial" w:hAnsi="Arial" w:cs="Arial"/>
                <w:sz w:val="20"/>
                <w:szCs w:val="20"/>
              </w:rPr>
              <w:t>s</w:t>
            </w:r>
            <w:r w:rsidR="00141A88" w:rsidRPr="00654988">
              <w:rPr>
                <w:rFonts w:ascii="Arial" w:hAnsi="Arial" w:cs="Arial"/>
                <w:sz w:val="20"/>
                <w:szCs w:val="20"/>
              </w:rPr>
              <w:t xml:space="preserve"> mTORC1 translocation to lysosomes</w:t>
            </w:r>
          </w:p>
          <w:p w14:paraId="760A3C4F" w14:textId="5638FE6B" w:rsidR="00141A88" w:rsidRPr="00654988" w:rsidRDefault="00DD4BDA" w:rsidP="00DD4BDA">
            <w:pPr>
              <w:pStyle w:val="ListParagraph"/>
              <w:numPr>
                <w:ilvl w:val="0"/>
                <w:numId w:val="18"/>
              </w:numPr>
              <w:ind w:left="357" w:hanging="357"/>
              <w:rPr>
                <w:rFonts w:ascii="Arial" w:hAnsi="Arial" w:cs="Arial"/>
                <w:sz w:val="20"/>
                <w:szCs w:val="20"/>
                <w:shd w:val="clear" w:color="auto" w:fill="FFFFFF"/>
              </w:rPr>
            </w:pPr>
            <w:r>
              <w:rPr>
                <w:rFonts w:ascii="Arial" w:hAnsi="Arial" w:cs="Arial"/>
                <w:sz w:val="20"/>
                <w:szCs w:val="20"/>
              </w:rPr>
              <w:t xml:space="preserve">Linares </w:t>
            </w:r>
            <w:r w:rsidR="00932756">
              <w:rPr>
                <w:rFonts w:ascii="Arial" w:hAnsi="Arial" w:cs="Arial"/>
                <w:sz w:val="20"/>
                <w:szCs w:val="20"/>
              </w:rPr>
              <w:t>et al.</w:t>
            </w:r>
            <w:r>
              <w:rPr>
                <w:rFonts w:ascii="Arial" w:hAnsi="Arial" w:cs="Arial"/>
                <w:sz w:val="20"/>
                <w:szCs w:val="20"/>
              </w:rPr>
              <w:fldChar w:fldCharType="begin"/>
            </w:r>
            <w:r w:rsidR="008255B7">
              <w:rPr>
                <w:rFonts w:ascii="Arial" w:hAnsi="Arial" w:cs="Arial"/>
                <w:sz w:val="20"/>
                <w:szCs w:val="20"/>
              </w:rPr>
              <w:instrText xml:space="preserve"> ADDIN ZOTERO_ITEM CSL_CITATION {"citationID":"8aODBAIF","properties":{"formattedCitation":"(Linares et al., 2011)","plainCitation":"(Linares et al., 2011)","noteIndex":0},"citationItems":[{"id":2712,"uris":["http://zotero.org/groups/2342045/items/H5CA8U3G"],"uri":["http://zotero.org/groups/2342045/items/H5CA8U3G"],"itemData":{"id":2712,"type":"article-journal","abstract":"Volume 31, no. 1, p. [105–117][1], 2011. Page 105: The article byline should read as given above.\n\n [1]: /lookup/doi/10.1128/MCB.00620-10","container-title":"Molecular and Cellular Biology","DOI":"10.1128/MCB.05371-11","ISSN":"0270-7306, 1098-5549","issue":"10","language":"en","note":"publisher: American Society for Microbiology Journals\nsection: Author's Correction","page":"2171-2171","source":"mcb.asm.org","title":"Phosphorylation of p62 by cdk1 Controls the Timely Transit of Cells through Mitosis and Tumor Cell Proliferation","volume":"31","author":[{"family":"Linares","given":"Juan F."},{"family":"Amanchy","given":"Ramars"},{"family":"Greis","given":"Kenneth"},{"family":"Diaz-Meco","given":"Maria T."},{"family":"Moscat","given":"Jorge"}],"issued":{"date-parts":[["2011",5,15]]}}}],"schema":"https://github.com/citation-style-language/schema/raw/master/csl-citation.json"} </w:instrText>
            </w:r>
            <w:r>
              <w:rPr>
                <w:rFonts w:ascii="Arial" w:hAnsi="Arial" w:cs="Arial"/>
                <w:sz w:val="20"/>
                <w:szCs w:val="20"/>
              </w:rPr>
              <w:fldChar w:fldCharType="separate"/>
            </w:r>
            <w:r w:rsidR="008255B7" w:rsidRPr="008255B7">
              <w:rPr>
                <w:rFonts w:ascii="Arial" w:hAnsi="Arial" w:cs="Arial"/>
                <w:sz w:val="20"/>
              </w:rPr>
              <w:t>(Linares et al., 2011)</w:t>
            </w:r>
            <w:r>
              <w:rPr>
                <w:rFonts w:ascii="Arial" w:hAnsi="Arial" w:cs="Arial"/>
                <w:sz w:val="20"/>
                <w:szCs w:val="20"/>
              </w:rPr>
              <w:fldChar w:fldCharType="end"/>
            </w:r>
            <w:r w:rsidR="00141A88" w:rsidRPr="00654988">
              <w:rPr>
                <w:rFonts w:ascii="Arial" w:hAnsi="Arial" w:cs="Arial"/>
                <w:sz w:val="20"/>
                <w:szCs w:val="20"/>
                <w:shd w:val="clear" w:color="auto" w:fill="FFFFFF"/>
              </w:rPr>
              <w:t xml:space="preserve"> showed that T269 and S272 are CDK1-regulated sites. Important for cell proliferation</w:t>
            </w:r>
          </w:p>
        </w:tc>
      </w:tr>
      <w:tr w:rsidR="00141A88" w:rsidRPr="00654988" w14:paraId="580D530D" w14:textId="77777777" w:rsidTr="00244380">
        <w:tc>
          <w:tcPr>
            <w:tcW w:w="2980" w:type="dxa"/>
            <w:gridSpan w:val="2"/>
          </w:tcPr>
          <w:p w14:paraId="23DB2341"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S271</w:t>
            </w:r>
          </w:p>
        </w:tc>
        <w:tc>
          <w:tcPr>
            <w:tcW w:w="6654" w:type="dxa"/>
          </w:tcPr>
          <w:p w14:paraId="28E443E4"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14B696A0" w14:textId="77777777" w:rsidTr="00244380">
        <w:tc>
          <w:tcPr>
            <w:tcW w:w="2980" w:type="dxa"/>
            <w:gridSpan w:val="2"/>
          </w:tcPr>
          <w:p w14:paraId="1237EFAB"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S276</w:t>
            </w:r>
          </w:p>
        </w:tc>
        <w:tc>
          <w:tcPr>
            <w:tcW w:w="6654" w:type="dxa"/>
          </w:tcPr>
          <w:p w14:paraId="06F233B7"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39209A2F" w14:textId="77777777" w:rsidTr="00244380">
        <w:tc>
          <w:tcPr>
            <w:tcW w:w="2980" w:type="dxa"/>
            <w:gridSpan w:val="2"/>
          </w:tcPr>
          <w:p w14:paraId="3BBD32DF"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S277</w:t>
            </w:r>
          </w:p>
        </w:tc>
        <w:tc>
          <w:tcPr>
            <w:tcW w:w="6654" w:type="dxa"/>
          </w:tcPr>
          <w:p w14:paraId="64555812"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2EDC480" w14:textId="77777777" w:rsidTr="00244380">
        <w:tc>
          <w:tcPr>
            <w:tcW w:w="2980" w:type="dxa"/>
            <w:gridSpan w:val="2"/>
          </w:tcPr>
          <w:p w14:paraId="32C7C947"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S278</w:t>
            </w:r>
          </w:p>
        </w:tc>
        <w:tc>
          <w:tcPr>
            <w:tcW w:w="6654" w:type="dxa"/>
          </w:tcPr>
          <w:p w14:paraId="35817838"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268A32AB" w14:textId="77777777" w:rsidTr="00244380">
        <w:tc>
          <w:tcPr>
            <w:tcW w:w="2980" w:type="dxa"/>
            <w:gridSpan w:val="2"/>
          </w:tcPr>
          <w:p w14:paraId="36983945"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T280</w:t>
            </w:r>
          </w:p>
        </w:tc>
        <w:tc>
          <w:tcPr>
            <w:tcW w:w="6654" w:type="dxa"/>
          </w:tcPr>
          <w:p w14:paraId="08D9CC95"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365CFE62" w14:textId="77777777" w:rsidTr="00244380">
        <w:tc>
          <w:tcPr>
            <w:tcW w:w="2980" w:type="dxa"/>
            <w:gridSpan w:val="2"/>
          </w:tcPr>
          <w:p w14:paraId="1EC688FD"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S284</w:t>
            </w:r>
          </w:p>
        </w:tc>
        <w:tc>
          <w:tcPr>
            <w:tcW w:w="6654" w:type="dxa"/>
          </w:tcPr>
          <w:p w14:paraId="41821499" w14:textId="77777777" w:rsidR="00141A88" w:rsidRPr="00654988" w:rsidRDefault="00141A88" w:rsidP="00E660B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5310516D" w14:textId="77777777" w:rsidTr="00244380">
        <w:tc>
          <w:tcPr>
            <w:tcW w:w="2980" w:type="dxa"/>
            <w:gridSpan w:val="2"/>
          </w:tcPr>
          <w:p w14:paraId="2897D669"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T286, S290, S367, S368</w:t>
            </w:r>
          </w:p>
        </w:tc>
        <w:tc>
          <w:tcPr>
            <w:tcW w:w="6654" w:type="dxa"/>
          </w:tcPr>
          <w:p w14:paraId="640947B2" w14:textId="1C49550B" w:rsidR="00141A88" w:rsidRPr="00654988" w:rsidRDefault="00DD4BDA" w:rsidP="00DD4BDA">
            <w:pPr>
              <w:pStyle w:val="ListParagraph"/>
              <w:numPr>
                <w:ilvl w:val="0"/>
                <w:numId w:val="19"/>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Hu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{"citationID":"WycsVH01","properties":{"formattedCitation":"(Hu et al., 2020)","plainCitation":"(Hu et al., 2020)","noteIndex":0},"citationItems":[{"id":2739,"uris":["http://zotero.org/groups/2342045/items/BEFVYEFH"],"uri":["http://zotero.org/groups/2342045/items/BEFVYEFH"],"itemData":{"id":2739,"type":"article-journal","abstract":"TANK binding kinase 1 (TBK1) is an important kinase involved in the innate immune response. Here we discover that TBK1 is hyperactivated by von Hippel-Lindau (VHL) loss or hypoxia in cancer cells. Tumors from patients with kidney cancer with VHL loss display elevated TBK1 phosphorylation. Loss of TBK1 via genetic ablation, pharmacologic inhibition, or a new cereblon-based proteolysis targeting chimera specifically inhibits VHL-deficient kidney cancer cell growth, while leaving VHL wild-type cells intact. TBK1 depletion also significantly blunts kidney tumorigenesis in an orthotopic xenograft model in vivo. Mechanistically, TBK1 hydroxylation on Proline 48 triggers VHL as well as the phosphatase PPM1B binding that leads to decreased TBK1 phosphorylation. We identify that TBK1 phosphorylates p62/SQSTM1 on Ser366, which is essential for p62 stability and kidney cancer cell proliferation. Our results establish that TBK1, distinct from its role in innate immune signaling, is a synthetic lethal target in cancer with VHL loss. SIGNIFICANCE: The mechanisms that lead to TBK1 activation in cancer and whether this activation is connected to its role in innate immunity remain unclear. Here, we discover that TBK1, distinct from its role in innate immunity, is activated by VHL loss or hypoxia in cancer.See related commentary by Bakouny and Barbie, p. 348.This article is highlighted in the In This Issue feature, p. 327.","container-title":"Cancer Discovery","DOI":"10.1158/2159-8290.CD-19-0837","ISSN":"2159-8290","issue":"3","journalAbbreviation":"Cancer Discov","language":"eng","note":"PMID: 31810986\nPMCID: PMC7058506","page":"460-475","source":"PubMed","title":"TBK1 Is a Synthetic Lethal Target in Cancer with VHL Loss","volume":"10","author":[{"family":"Hu","given":"Lianxin"},{"family":"Xie","given":"Haibiao"},{"family":"Liu","given":"Xijuan"},{"family":"Potjewyd","given":"Frances"},{"family":"James","given":"Lindsey I."},{"family":"Wilkerson","given":"Emily M."},{"family":"Herring","given":"Laura E."},{"family":"Xie","given":"Ling"},{"family":"Chen","given":"Xian"},{"family":"Cabrera","given":"Johnny Castillo"},{"family":"Hong","given":"Kai"},{"family":"Liao","given":"Chengheng"},{"family":"Tan","given":"Xianming"},{"family":"Baldwin","given":"Albert S."},{"family":"Gong","given":"Kan"},{"family":"Zhang","given":"Qing"}],"issued":{"date-parts":[["2020",3]]}}}],"schema":"https://github.com/citation-style-language/schema/raw/master/csl-citation.json"}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(Hu et al., 2020)</w:t>
            </w:r>
            <w:r>
              <w:rPr>
                <w:rFonts w:ascii="Arial" w:hAnsi="Arial" w:cs="Arial"/>
                <w:sz w:val="20"/>
                <w:szCs w:val="20"/>
                <w:shd w:val="clear" w:color="auto" w:fill="FFFFFF"/>
              </w:rPr>
              <w:fldChar w:fldCharType="end"/>
            </w:r>
            <w:r w:rsidR="00141A88" w:rsidRPr="00654988">
              <w:rPr>
                <w:rFonts w:ascii="Arial" w:hAnsi="Arial" w:cs="Arial"/>
                <w:sz w:val="20"/>
                <w:szCs w:val="20"/>
                <w:shd w:val="clear" w:color="auto" w:fill="FFFFFF"/>
              </w:rPr>
              <w:t xml:space="preserve"> report</w:t>
            </w:r>
            <w:r w:rsidR="004D28AF" w:rsidRPr="00654988">
              <w:rPr>
                <w:rFonts w:ascii="Arial" w:hAnsi="Arial" w:cs="Arial"/>
                <w:sz w:val="20"/>
                <w:szCs w:val="20"/>
                <w:shd w:val="clear" w:color="auto" w:fill="FFFFFF"/>
              </w:rPr>
              <w:t>ed</w:t>
            </w:r>
            <w:r w:rsidR="00141A88" w:rsidRPr="00654988">
              <w:rPr>
                <w:rFonts w:ascii="Arial" w:hAnsi="Arial" w:cs="Arial"/>
                <w:sz w:val="20"/>
                <w:szCs w:val="20"/>
                <w:shd w:val="clear" w:color="auto" w:fill="FFFFFF"/>
              </w:rPr>
              <w:t xml:space="preserve"> that phosphorylation </w:t>
            </w:r>
            <w:r w:rsidR="008D2871">
              <w:rPr>
                <w:rFonts w:ascii="Arial" w:hAnsi="Arial" w:cs="Arial"/>
                <w:sz w:val="20"/>
                <w:szCs w:val="20"/>
                <w:shd w:val="clear" w:color="auto" w:fill="FFFFFF"/>
              </w:rPr>
              <w:t>at</w:t>
            </w:r>
            <w:r w:rsidR="00141A88" w:rsidRPr="00654988">
              <w:rPr>
                <w:rFonts w:ascii="Arial" w:hAnsi="Arial" w:cs="Arial"/>
                <w:sz w:val="20"/>
                <w:szCs w:val="20"/>
                <w:shd w:val="clear" w:color="auto" w:fill="FFFFFF"/>
              </w:rPr>
              <w:t xml:space="preserve"> these </w:t>
            </w:r>
            <w:r w:rsidR="00C176B9" w:rsidRPr="00654988">
              <w:rPr>
                <w:rFonts w:ascii="Arial" w:hAnsi="Arial" w:cs="Arial"/>
                <w:sz w:val="20"/>
                <w:szCs w:val="20"/>
                <w:shd w:val="clear" w:color="auto" w:fill="FFFFFF"/>
              </w:rPr>
              <w:t>sites</w:t>
            </w:r>
            <w:r w:rsidR="00141A88" w:rsidRPr="00654988">
              <w:rPr>
                <w:rFonts w:ascii="Arial" w:hAnsi="Arial" w:cs="Arial"/>
                <w:sz w:val="20"/>
                <w:szCs w:val="20"/>
                <w:shd w:val="clear" w:color="auto" w:fill="FFFFFF"/>
              </w:rPr>
              <w:t xml:space="preserve"> requires TBK1</w:t>
            </w:r>
          </w:p>
        </w:tc>
      </w:tr>
      <w:tr w:rsidR="00141A88" w:rsidRPr="00654988" w14:paraId="6B324AEA" w14:textId="77777777" w:rsidTr="00244380">
        <w:tc>
          <w:tcPr>
            <w:tcW w:w="2980" w:type="dxa"/>
            <w:gridSpan w:val="2"/>
          </w:tcPr>
          <w:p w14:paraId="3410B3AA"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S289</w:t>
            </w:r>
          </w:p>
        </w:tc>
        <w:tc>
          <w:tcPr>
            <w:tcW w:w="6654" w:type="dxa"/>
          </w:tcPr>
          <w:p w14:paraId="7FC95E44" w14:textId="77777777" w:rsidR="00141A88" w:rsidRPr="00654988" w:rsidRDefault="00141A88" w:rsidP="00E660B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21DD5774" w14:textId="77777777" w:rsidTr="00244380">
        <w:tc>
          <w:tcPr>
            <w:tcW w:w="2980" w:type="dxa"/>
            <w:gridSpan w:val="2"/>
          </w:tcPr>
          <w:p w14:paraId="0370E8B9" w14:textId="77777777" w:rsidR="00141A88" w:rsidRPr="00654988" w:rsidRDefault="00141A88" w:rsidP="00DD4BDA">
            <w:pPr>
              <w:tabs>
                <w:tab w:val="center" w:pos="1382"/>
              </w:tabs>
              <w:rPr>
                <w:rFonts w:ascii="Arial" w:hAnsi="Arial" w:cs="Arial"/>
                <w:sz w:val="20"/>
                <w:szCs w:val="20"/>
                <w:shd w:val="clear" w:color="auto" w:fill="FFFFFF"/>
              </w:rPr>
            </w:pPr>
            <w:r w:rsidRPr="00654988">
              <w:rPr>
                <w:rFonts w:ascii="Arial" w:hAnsi="Arial" w:cs="Arial"/>
                <w:sz w:val="20"/>
                <w:szCs w:val="20"/>
                <w:shd w:val="clear" w:color="auto" w:fill="FFFFFF"/>
              </w:rPr>
              <w:t>S292</w:t>
            </w:r>
            <w:r w:rsidR="00DD4BDA">
              <w:rPr>
                <w:rFonts w:ascii="Arial" w:hAnsi="Arial" w:cs="Arial"/>
                <w:sz w:val="20"/>
                <w:szCs w:val="20"/>
                <w:shd w:val="clear" w:color="auto" w:fill="FFFFFF"/>
              </w:rPr>
              <w:tab/>
            </w:r>
          </w:p>
        </w:tc>
        <w:tc>
          <w:tcPr>
            <w:tcW w:w="6654" w:type="dxa"/>
          </w:tcPr>
          <w:p w14:paraId="1D9CC279"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72F10676" w14:textId="77777777" w:rsidTr="00244380">
        <w:tc>
          <w:tcPr>
            <w:tcW w:w="2980" w:type="dxa"/>
            <w:gridSpan w:val="2"/>
          </w:tcPr>
          <w:p w14:paraId="4370B929"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S293</w:t>
            </w:r>
          </w:p>
        </w:tc>
        <w:tc>
          <w:tcPr>
            <w:tcW w:w="6654" w:type="dxa"/>
          </w:tcPr>
          <w:p w14:paraId="567C2053" w14:textId="77777777" w:rsidR="00141A88" w:rsidRPr="00654988" w:rsidRDefault="00141A88" w:rsidP="00E660B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5570A5A" w14:textId="77777777" w:rsidTr="00244380">
        <w:tc>
          <w:tcPr>
            <w:tcW w:w="2980" w:type="dxa"/>
            <w:gridSpan w:val="2"/>
          </w:tcPr>
          <w:p w14:paraId="2391D5CE"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S308</w:t>
            </w:r>
          </w:p>
        </w:tc>
        <w:tc>
          <w:tcPr>
            <w:tcW w:w="6654" w:type="dxa"/>
          </w:tcPr>
          <w:p w14:paraId="2CC3F9E8" w14:textId="77777777" w:rsidR="00141A88" w:rsidRPr="00654988" w:rsidRDefault="00141A88" w:rsidP="00E660B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5C800B5A" w14:textId="77777777" w:rsidTr="00244380">
        <w:tc>
          <w:tcPr>
            <w:tcW w:w="2980" w:type="dxa"/>
            <w:gridSpan w:val="2"/>
          </w:tcPr>
          <w:p w14:paraId="27350D11"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S334</w:t>
            </w:r>
          </w:p>
        </w:tc>
        <w:tc>
          <w:tcPr>
            <w:tcW w:w="6654" w:type="dxa"/>
          </w:tcPr>
          <w:p w14:paraId="39430E15" w14:textId="77777777" w:rsidR="00141A88" w:rsidRPr="00654988" w:rsidRDefault="00141A88" w:rsidP="00E660B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A1D1B92" w14:textId="77777777" w:rsidTr="00244380">
        <w:tc>
          <w:tcPr>
            <w:tcW w:w="2980" w:type="dxa"/>
            <w:gridSpan w:val="2"/>
          </w:tcPr>
          <w:p w14:paraId="37405FBA" w14:textId="77777777" w:rsidR="00141A88" w:rsidRPr="00654988" w:rsidRDefault="00141A88" w:rsidP="00E660BE">
            <w:pPr>
              <w:rPr>
                <w:rFonts w:ascii="Arial" w:hAnsi="Arial" w:cs="Arial"/>
                <w:sz w:val="20"/>
                <w:szCs w:val="20"/>
                <w:shd w:val="clear" w:color="auto" w:fill="FFFFFF"/>
              </w:rPr>
            </w:pPr>
            <w:r w:rsidRPr="00654988">
              <w:rPr>
                <w:rFonts w:ascii="Arial" w:hAnsi="Arial" w:cs="Arial"/>
                <w:sz w:val="20"/>
                <w:szCs w:val="20"/>
                <w:shd w:val="clear" w:color="auto" w:fill="FFFFFF"/>
              </w:rPr>
              <w:t>K13</w:t>
            </w:r>
          </w:p>
        </w:tc>
        <w:tc>
          <w:tcPr>
            <w:tcW w:w="6654" w:type="dxa"/>
          </w:tcPr>
          <w:p w14:paraId="3BA528DB" w14:textId="0BB3608D" w:rsidR="00141A88" w:rsidRPr="00654988" w:rsidRDefault="00DD4BDA" w:rsidP="00DD4BDA">
            <w:pPr>
              <w:pStyle w:val="ListParagraph"/>
              <w:numPr>
                <w:ilvl w:val="0"/>
                <w:numId w:val="21"/>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Song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{"citationID":"MJsPQCaz","properties":{"formattedCitation":"(Song et al., 2016)","plainCitation":"(Song et al., 2016)","noteIndex":0},"citationItems":[{"id":2724,"uris":["http://zotero.org/groups/2342045/items/ICYRGG6E"],"uri":["http://zotero.org/groups/2342045/items/ICYRGG6E"],"itemData":{"id":2724,"type":"article-journal","abstract":"Mutations or inactivation of parkin, an E3 ubiquitin ligase, are associated with familial form or sporadic Parkinson’s disease (PD), respectively, which manifested with the selective vulnerability of neuronal cells in substantia nigra (SN) and striatum (STR) regions. However, the underlying molecular mechanism linking parkin with the etiology of PD remains elusive. Here we report that p62, a critical regulator for protein quality control, inclusion body formation, selective autophagy and diverse signaling pathways, is a new substrate of parkin. P62 levels were increased in the SN and STR regions, but not in other brain regions in parkin knockout mice. Parkin directly interacts with and ubiquitinates p62 at the K13 to promote proteasomal degradation of p62 even in the absence of ATG5. Pathogenic mutations, knockdown of parkin or mutation of p62 at K13 prevented the degradation of p62. We further showed that parkin deficiency mice have pronounced loss of tyrosine hydroxylase positive neurons and have worse performance in motor test when treated with 6-hydroxydopamine hydrochloride in aged mice. These results suggest that, in addition to their critical role in regulating autophagy, p62 are subjected to parkin mediated proteasomal degradation and implicate that the dysregulation of parkin/p62 axis may involve in the selective vulnerability of neuronal cells during the onset of PD pathogenesis.","container-title":"Protein &amp; Cell","DOI":"10.1007/s13238-015-0230-9","ISSN":"1674-8018","issue":"2","journalAbbreviation":"Protein Cell","language":"en","page":"114-129","source":"Springer Link","title":"Parkin promotes proteasomal degradation of p62: implication of selective vulnerability of neuronal cells in the pathogenesis of Parkinson’s disease","title-short":"Parkin promotes proteasomal degradation of p62","volume":"7","author":[{"family":"Song","given":"Pingping"},{"family":"Li","given":"Shanshan"},{"family":"Wu","given":"Hao"},{"family":"Gao","given":"Ruize"},{"family":"Rao","given":"Guanhua"},{"family":"Wang","given":"Dongmei"},{"family":"Chen","given":"Ziheng"},{"family":"Ma","given":"Biao"},{"family":"Wang","given":"Hongxia"},{"family":"Sui","given":"Nan"},{"family":"Deng","given":"Haiteng"},{"family":"Zhang","given":"Zhuohua"},{"family":"Tang","given":"Tieshan"},{"family":"Tan","given":"Zheng"},{"family":"Han","given":"Zehan"},{"family":"Lu","given":"Tieyuan"},{"family":"Zhu","given":"Yushan"},{"family":"Chen","given":"Quan"}],"issued":{"date-parts":[["2016",2,1]]}}}],"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(Song et al., 2016)</w:t>
            </w:r>
            <w:r>
              <w:rPr>
                <w:rFonts w:ascii="Arial" w:hAnsi="Arial" w:cs="Arial"/>
                <w:sz w:val="20"/>
                <w:szCs w:val="20"/>
                <w:shd w:val="clear" w:color="auto" w:fill="FFFFFF"/>
              </w:rPr>
              <w:fldChar w:fldCharType="end"/>
            </w:r>
            <w:r w:rsidR="00141A88" w:rsidRPr="00654988">
              <w:rPr>
                <w:rFonts w:ascii="Arial" w:hAnsi="Arial" w:cs="Arial"/>
                <w:sz w:val="20"/>
                <w:szCs w:val="20"/>
                <w:shd w:val="clear" w:color="auto" w:fill="FFFFFF"/>
              </w:rPr>
              <w:t xml:space="preserve"> show</w:t>
            </w:r>
            <w:r w:rsidR="004D28AF" w:rsidRPr="00654988">
              <w:rPr>
                <w:rFonts w:ascii="Arial" w:hAnsi="Arial" w:cs="Arial"/>
                <w:sz w:val="20"/>
                <w:szCs w:val="20"/>
                <w:shd w:val="clear" w:color="auto" w:fill="FFFFFF"/>
              </w:rPr>
              <w:t>ed</w:t>
            </w:r>
            <w:r w:rsidR="00141A88" w:rsidRPr="00654988">
              <w:rPr>
                <w:rFonts w:ascii="Arial" w:hAnsi="Arial" w:cs="Arial"/>
                <w:sz w:val="20"/>
                <w:szCs w:val="20"/>
                <w:shd w:val="clear" w:color="auto" w:fill="FFFFFF"/>
              </w:rPr>
              <w:t xml:space="preserve"> </w:t>
            </w:r>
            <w:r w:rsidR="00C176B9" w:rsidRPr="00654988">
              <w:rPr>
                <w:rFonts w:ascii="Arial" w:hAnsi="Arial" w:cs="Arial"/>
                <w:sz w:val="20"/>
                <w:szCs w:val="20"/>
                <w:shd w:val="clear" w:color="auto" w:fill="FFFFFF"/>
              </w:rPr>
              <w:t>that</w:t>
            </w:r>
            <w:r w:rsidR="00141A88" w:rsidRPr="00654988">
              <w:rPr>
                <w:rFonts w:ascii="Arial" w:hAnsi="Arial" w:cs="Arial"/>
                <w:sz w:val="20"/>
                <w:szCs w:val="20"/>
                <w:shd w:val="clear" w:color="auto" w:fill="FFFFFF"/>
              </w:rPr>
              <w:t xml:space="preserve"> K13 is ubiquitylated by Parkin, leading to p62 degradation</w:t>
            </w:r>
          </w:p>
        </w:tc>
      </w:tr>
      <w:tr w:rsidR="00141A88" w:rsidRPr="00654988" w14:paraId="252D4C1D" w14:textId="77777777" w:rsidTr="00244380">
        <w:tc>
          <w:tcPr>
            <w:tcW w:w="2980" w:type="dxa"/>
            <w:gridSpan w:val="2"/>
          </w:tcPr>
          <w:p w14:paraId="59B78ADA" w14:textId="77777777" w:rsidR="00141A88" w:rsidRPr="00654988" w:rsidRDefault="00141A88" w:rsidP="008A28E6">
            <w:pPr>
              <w:rPr>
                <w:rFonts w:ascii="Arial" w:hAnsi="Arial" w:cs="Arial"/>
                <w:sz w:val="20"/>
                <w:szCs w:val="20"/>
                <w:shd w:val="clear" w:color="auto" w:fill="FFFFFF"/>
              </w:rPr>
            </w:pPr>
            <w:r w:rsidRPr="00654988">
              <w:rPr>
                <w:rFonts w:ascii="Arial" w:hAnsi="Arial" w:cs="Arial"/>
                <w:sz w:val="20"/>
                <w:szCs w:val="20"/>
                <w:shd w:val="clear" w:color="auto" w:fill="FFFFFF"/>
              </w:rPr>
              <w:t>K157</w:t>
            </w:r>
          </w:p>
        </w:tc>
        <w:tc>
          <w:tcPr>
            <w:tcW w:w="6654" w:type="dxa"/>
          </w:tcPr>
          <w:p w14:paraId="7156ACBA" w14:textId="77777777" w:rsidR="00141A88" w:rsidRPr="00654988" w:rsidRDefault="00141A88" w:rsidP="008A28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17340FE0" w14:textId="77777777" w:rsidTr="00244380">
        <w:tc>
          <w:tcPr>
            <w:tcW w:w="2980" w:type="dxa"/>
            <w:gridSpan w:val="2"/>
          </w:tcPr>
          <w:p w14:paraId="55CDC7C8" w14:textId="77777777" w:rsidR="00141A88" w:rsidRPr="00654988" w:rsidRDefault="00141A88" w:rsidP="00E660BE">
            <w:pPr>
              <w:rPr>
                <w:rFonts w:ascii="Arial" w:hAnsi="Arial" w:cs="Arial"/>
                <w:sz w:val="20"/>
                <w:szCs w:val="20"/>
                <w:shd w:val="clear" w:color="auto" w:fill="FFFFFF"/>
              </w:rPr>
            </w:pPr>
            <w:r w:rsidRPr="00A073A9">
              <w:rPr>
                <w:rFonts w:ascii="Arial" w:hAnsi="Arial" w:cs="Arial"/>
                <w:sz w:val="20"/>
                <w:szCs w:val="20"/>
                <w:shd w:val="clear" w:color="auto" w:fill="FFFFFF"/>
              </w:rPr>
              <w:t>K422</w:t>
            </w:r>
          </w:p>
        </w:tc>
        <w:tc>
          <w:tcPr>
            <w:tcW w:w="6654" w:type="dxa"/>
          </w:tcPr>
          <w:p w14:paraId="527615ED" w14:textId="5EDA1B9B" w:rsidR="00141A88" w:rsidRPr="00654988" w:rsidRDefault="00A073A9" w:rsidP="00A073A9">
            <w:pPr>
              <w:pStyle w:val="ListParagraph"/>
              <w:numPr>
                <w:ilvl w:val="0"/>
                <w:numId w:val="19"/>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Lee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{"citationID":"3p1ipuXq","properties":{"formattedCitation":"(Lee et al., 2017)","plainCitation":"(Lee et al., 2017)","noteIndex":0},"citationItems":[{"id":2741,"uris":["http://zotero.org/groups/2342045/items/4AGPEL85"],"uri":["http://zotero.org/groups/2342045/items/4AGPEL85"],"itemData":{"id":2741,"type":"article-journal","abstract":"p62/SQSTM1 (p62) is a scaffolding protein that facilitates the formation and degradation of ubiquitinated aggregates via its self-interaction and ubiquitin binding domains. The regulation of this process is unclear but may relate to the post-translational modification of p62. In the present study, we find that Keap1/Cullin3 ubiquitinates p62 at lysine 420 within its UBA domain. Substitution of lysine 420 with an arginine diminishes p62 sequestration and degradation activity similar what is seen when the UBA domain is deleted. Overexpression of Keap1/Cullin3 in p62-WT-expressing cells increases ubiquitinated inclusion formation and p62's association with LC3 and rescues proteotoxicity. This effect is not seen in cells expressing a mutant p62 that fails to interact with Keap1. Interestingly, p62 disease mutants have diminished or absent UBA domain ubiquitination. These data suggest that the ubiquitination of p62's UBA domain at lysine 420 may regulate p62's function and be disrupted in p62-associated disease.","container-title":"Cell Reports","DOI":"10.1016/j.celrep.2017.03.030","ISSN":"2211-1247","issue":"1","journalAbbreviation":"Cell Rep","language":"eng","note":"PMID: 28380357\nPMCID: PMC5395095","page":"188-202","source":"PubMed","title":"Keap1/Cullin3 Modulates p62/SQSTM1 Activity via UBA Domain Ubiquitination","volume":"19","author":[{"family":"Lee","given":"YouJin"},{"family":"Chou","given":"Tsui-Fen"},{"family":"Pittman","given":"Sara K."},{"family":"Keith","given":"Amy L."},{"family":"Razani","given":"Babak"},{"family":"Weihl","given":"Conrad C."}],"issued":{"date-parts":[["2017"]],"season":"04"}}}],"schema":"https://github.com/citation-style-language/schema/raw/master/csl-citation.json"}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(Lee et al., 2017)</w:t>
            </w:r>
            <w:r>
              <w:rPr>
                <w:rFonts w:ascii="Arial" w:hAnsi="Arial" w:cs="Arial"/>
                <w:sz w:val="20"/>
                <w:szCs w:val="20"/>
                <w:shd w:val="clear" w:color="auto" w:fill="FFFFFF"/>
              </w:rPr>
              <w:fldChar w:fldCharType="end"/>
            </w:r>
            <w:r>
              <w:rPr>
                <w:rFonts w:ascii="Arial" w:hAnsi="Arial" w:cs="Arial"/>
                <w:sz w:val="20"/>
                <w:szCs w:val="20"/>
                <w:shd w:val="clear" w:color="auto" w:fill="FFFFFF"/>
              </w:rPr>
              <w:t xml:space="preserve"> </w:t>
            </w:r>
            <w:r w:rsidR="00141A88" w:rsidRPr="00654988">
              <w:rPr>
                <w:rFonts w:ascii="Arial" w:hAnsi="Arial" w:cs="Arial"/>
                <w:sz w:val="20"/>
                <w:szCs w:val="20"/>
                <w:shd w:val="clear" w:color="auto" w:fill="FFFFFF"/>
              </w:rPr>
              <w:t>show</w:t>
            </w:r>
            <w:r w:rsidR="004D28AF" w:rsidRPr="00654988">
              <w:rPr>
                <w:rFonts w:ascii="Arial" w:hAnsi="Arial" w:cs="Arial"/>
                <w:sz w:val="20"/>
                <w:szCs w:val="20"/>
                <w:shd w:val="clear" w:color="auto" w:fill="FFFFFF"/>
              </w:rPr>
              <w:t>ed</w:t>
            </w:r>
            <w:r w:rsidR="00141A88" w:rsidRPr="00654988">
              <w:rPr>
                <w:rFonts w:ascii="Arial" w:hAnsi="Arial" w:cs="Arial"/>
                <w:sz w:val="20"/>
                <w:szCs w:val="20"/>
                <w:shd w:val="clear" w:color="auto" w:fill="FFFFFF"/>
              </w:rPr>
              <w:t xml:space="preserve"> ubiquitylation </w:t>
            </w:r>
            <w:r w:rsidR="008D2871">
              <w:rPr>
                <w:rFonts w:ascii="Arial" w:hAnsi="Arial" w:cs="Arial"/>
                <w:sz w:val="20"/>
                <w:szCs w:val="20"/>
                <w:shd w:val="clear" w:color="auto" w:fill="FFFFFF"/>
              </w:rPr>
              <w:t>at</w:t>
            </w:r>
            <w:r w:rsidR="00184996" w:rsidRPr="00654988">
              <w:rPr>
                <w:rFonts w:ascii="Arial" w:hAnsi="Arial" w:cs="Arial"/>
                <w:sz w:val="20"/>
                <w:szCs w:val="20"/>
                <w:shd w:val="clear" w:color="auto" w:fill="FFFFFF"/>
              </w:rPr>
              <w:t xml:space="preserve"> this site </w:t>
            </w:r>
            <w:r w:rsidR="00141A88" w:rsidRPr="00654988">
              <w:rPr>
                <w:rFonts w:ascii="Arial" w:hAnsi="Arial" w:cs="Arial"/>
                <w:sz w:val="20"/>
                <w:szCs w:val="20"/>
                <w:shd w:val="clear" w:color="auto" w:fill="FFFFFF"/>
              </w:rPr>
              <w:t>by KEAP1</w:t>
            </w:r>
            <w:r w:rsidR="00184996" w:rsidRPr="00654988">
              <w:rPr>
                <w:rFonts w:ascii="Arial" w:hAnsi="Arial" w:cs="Arial"/>
                <w:sz w:val="20"/>
                <w:szCs w:val="20"/>
                <w:shd w:val="clear" w:color="auto" w:fill="FFFFFF"/>
              </w:rPr>
              <w:t xml:space="preserve">, which </w:t>
            </w:r>
            <w:r w:rsidR="00141A88" w:rsidRPr="00654988">
              <w:rPr>
                <w:rFonts w:ascii="Arial" w:hAnsi="Arial" w:cs="Arial"/>
                <w:sz w:val="20"/>
                <w:szCs w:val="20"/>
                <w:shd w:val="clear" w:color="auto" w:fill="FFFFFF"/>
              </w:rPr>
              <w:t>is required for p62 receptor function</w:t>
            </w:r>
          </w:p>
        </w:tc>
      </w:tr>
      <w:tr w:rsidR="00141A88" w:rsidRPr="00654988" w14:paraId="328B841D" w14:textId="77777777" w:rsidTr="00244380">
        <w:tc>
          <w:tcPr>
            <w:tcW w:w="2980" w:type="dxa"/>
            <w:gridSpan w:val="2"/>
          </w:tcPr>
          <w:p w14:paraId="4351B1A2" w14:textId="77777777" w:rsidR="00141A88" w:rsidRPr="00654988" w:rsidRDefault="00141A88" w:rsidP="008A28E6">
            <w:pPr>
              <w:rPr>
                <w:rFonts w:ascii="Arial" w:hAnsi="Arial" w:cs="Arial"/>
                <w:sz w:val="20"/>
                <w:szCs w:val="20"/>
                <w:shd w:val="clear" w:color="auto" w:fill="FFFFFF"/>
              </w:rPr>
            </w:pPr>
            <w:r w:rsidRPr="00654988">
              <w:rPr>
                <w:rFonts w:ascii="Arial" w:hAnsi="Arial" w:cs="Arial"/>
                <w:sz w:val="20"/>
                <w:szCs w:val="20"/>
                <w:shd w:val="clear" w:color="auto" w:fill="FFFFFF"/>
              </w:rPr>
              <w:t>K437</w:t>
            </w:r>
          </w:p>
        </w:tc>
        <w:tc>
          <w:tcPr>
            <w:tcW w:w="6654" w:type="dxa"/>
          </w:tcPr>
          <w:p w14:paraId="3018629A" w14:textId="77777777" w:rsidR="00141A88" w:rsidRPr="00654988" w:rsidRDefault="00141A88" w:rsidP="008A28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291E4A0D" w14:textId="77777777" w:rsidTr="00244380">
        <w:trPr>
          <w:gridAfter w:val="1"/>
          <w:wAfter w:w="6654" w:type="dxa"/>
        </w:trPr>
        <w:tc>
          <w:tcPr>
            <w:tcW w:w="2980" w:type="dxa"/>
            <w:gridSpan w:val="2"/>
          </w:tcPr>
          <w:p w14:paraId="2D582208" w14:textId="77777777" w:rsidR="007E239D" w:rsidRPr="00654988" w:rsidRDefault="007E239D" w:rsidP="008A28E6">
            <w:pPr>
              <w:rPr>
                <w:rFonts w:ascii="Arial" w:hAnsi="Arial" w:cs="Arial"/>
                <w:sz w:val="20"/>
                <w:szCs w:val="20"/>
                <w:shd w:val="clear" w:color="auto" w:fill="FFFFFF"/>
              </w:rPr>
            </w:pPr>
            <w:r w:rsidRPr="00654988">
              <w:rPr>
                <w:rFonts w:ascii="Arial" w:hAnsi="Arial" w:cs="Arial"/>
                <w:b/>
                <w:shd w:val="clear" w:color="auto" w:fill="FFFFFF"/>
              </w:rPr>
              <w:t>NBR1</w:t>
            </w:r>
          </w:p>
        </w:tc>
      </w:tr>
      <w:tr w:rsidR="00141A88" w:rsidRPr="00654988" w14:paraId="184B77AC" w14:textId="77777777" w:rsidTr="00244380">
        <w:tc>
          <w:tcPr>
            <w:tcW w:w="2980" w:type="dxa"/>
            <w:gridSpan w:val="2"/>
          </w:tcPr>
          <w:p w14:paraId="0A0B9098" w14:textId="77777777" w:rsidR="00141A88" w:rsidRPr="00654988" w:rsidRDefault="00141A88" w:rsidP="001157DC">
            <w:pPr>
              <w:rPr>
                <w:rFonts w:ascii="Arial" w:hAnsi="Arial" w:cs="Arial"/>
                <w:sz w:val="20"/>
                <w:szCs w:val="20"/>
                <w:shd w:val="clear" w:color="auto" w:fill="FFFFFF"/>
              </w:rPr>
            </w:pPr>
            <w:r w:rsidRPr="00654988">
              <w:rPr>
                <w:rFonts w:ascii="Arial" w:hAnsi="Arial" w:cs="Arial"/>
                <w:sz w:val="20"/>
                <w:szCs w:val="20"/>
                <w:shd w:val="clear" w:color="auto" w:fill="FFFFFF"/>
              </w:rPr>
              <w:t>T6</w:t>
            </w:r>
          </w:p>
        </w:tc>
        <w:tc>
          <w:tcPr>
            <w:tcW w:w="6654" w:type="dxa"/>
          </w:tcPr>
          <w:p w14:paraId="78B6CFB6" w14:textId="77777777" w:rsidR="00141A88" w:rsidRPr="00654988" w:rsidRDefault="00141A88" w:rsidP="001157DC">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42BC2FA2" w14:textId="77777777" w:rsidTr="00244380">
        <w:tc>
          <w:tcPr>
            <w:tcW w:w="2980" w:type="dxa"/>
            <w:gridSpan w:val="2"/>
          </w:tcPr>
          <w:p w14:paraId="223AD362" w14:textId="77777777" w:rsidR="00141A88" w:rsidRPr="00654988" w:rsidRDefault="00141A88" w:rsidP="001157DC">
            <w:pPr>
              <w:rPr>
                <w:rFonts w:ascii="Arial" w:hAnsi="Arial" w:cs="Arial"/>
                <w:sz w:val="20"/>
                <w:szCs w:val="20"/>
                <w:shd w:val="clear" w:color="auto" w:fill="FFFFFF"/>
              </w:rPr>
            </w:pPr>
            <w:r w:rsidRPr="00654988">
              <w:rPr>
                <w:rFonts w:ascii="Arial" w:hAnsi="Arial" w:cs="Arial"/>
                <w:sz w:val="20"/>
                <w:szCs w:val="20"/>
                <w:shd w:val="clear" w:color="auto" w:fill="FFFFFF"/>
              </w:rPr>
              <w:t>S657</w:t>
            </w:r>
          </w:p>
        </w:tc>
        <w:tc>
          <w:tcPr>
            <w:tcW w:w="6654" w:type="dxa"/>
          </w:tcPr>
          <w:p w14:paraId="45CC1E88" w14:textId="77777777" w:rsidR="00141A88" w:rsidRPr="00654988" w:rsidRDefault="00141A88" w:rsidP="001157D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1FC40C2" w14:textId="77777777" w:rsidTr="00244380">
        <w:tc>
          <w:tcPr>
            <w:tcW w:w="2980" w:type="dxa"/>
            <w:gridSpan w:val="2"/>
          </w:tcPr>
          <w:p w14:paraId="487C26BA" w14:textId="77777777" w:rsidR="00141A88" w:rsidRPr="00654988" w:rsidRDefault="00141A88" w:rsidP="001157DC">
            <w:pPr>
              <w:rPr>
                <w:rFonts w:ascii="Arial" w:hAnsi="Arial" w:cs="Arial"/>
                <w:sz w:val="20"/>
                <w:szCs w:val="20"/>
                <w:shd w:val="clear" w:color="auto" w:fill="FFFFFF"/>
              </w:rPr>
            </w:pPr>
            <w:r w:rsidRPr="00654988">
              <w:rPr>
                <w:rFonts w:ascii="Arial" w:hAnsi="Arial" w:cs="Arial"/>
                <w:sz w:val="20"/>
                <w:szCs w:val="20"/>
                <w:shd w:val="clear" w:color="auto" w:fill="FFFFFF"/>
              </w:rPr>
              <w:t>K538</w:t>
            </w:r>
          </w:p>
        </w:tc>
        <w:tc>
          <w:tcPr>
            <w:tcW w:w="6654" w:type="dxa"/>
          </w:tcPr>
          <w:p w14:paraId="5DE69558" w14:textId="77777777" w:rsidR="00141A88" w:rsidRPr="00654988" w:rsidRDefault="00141A88" w:rsidP="001157D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32752E71" w14:textId="77777777" w:rsidTr="00244380">
        <w:trPr>
          <w:gridAfter w:val="1"/>
          <w:wAfter w:w="6654" w:type="dxa"/>
        </w:trPr>
        <w:tc>
          <w:tcPr>
            <w:tcW w:w="2980" w:type="dxa"/>
            <w:gridSpan w:val="2"/>
          </w:tcPr>
          <w:p w14:paraId="754D52FA" w14:textId="77777777" w:rsidR="007E239D" w:rsidRPr="00654988" w:rsidRDefault="007E239D" w:rsidP="008A28E6">
            <w:pPr>
              <w:rPr>
                <w:rFonts w:ascii="Arial" w:hAnsi="Arial" w:cs="Arial"/>
                <w:sz w:val="20"/>
                <w:szCs w:val="20"/>
                <w:shd w:val="clear" w:color="auto" w:fill="FFFFFF"/>
              </w:rPr>
            </w:pPr>
            <w:r w:rsidRPr="00654988">
              <w:rPr>
                <w:rFonts w:ascii="Arial" w:hAnsi="Arial" w:cs="Arial"/>
                <w:b/>
                <w:shd w:val="clear" w:color="auto" w:fill="FFFFFF"/>
              </w:rPr>
              <w:t>CACO1</w:t>
            </w:r>
          </w:p>
        </w:tc>
      </w:tr>
      <w:tr w:rsidR="00141A88" w:rsidRPr="00654988" w14:paraId="098EE853" w14:textId="77777777" w:rsidTr="00244380">
        <w:tc>
          <w:tcPr>
            <w:tcW w:w="2980" w:type="dxa"/>
            <w:gridSpan w:val="2"/>
          </w:tcPr>
          <w:p w14:paraId="54837500" w14:textId="77777777" w:rsidR="00141A88" w:rsidRPr="00654988" w:rsidRDefault="00141A88" w:rsidP="001157DC">
            <w:pPr>
              <w:rPr>
                <w:rFonts w:ascii="Arial" w:hAnsi="Arial" w:cs="Arial"/>
                <w:sz w:val="20"/>
                <w:szCs w:val="20"/>
                <w:shd w:val="clear" w:color="auto" w:fill="FFFFFF"/>
              </w:rPr>
            </w:pPr>
            <w:r w:rsidRPr="00654988">
              <w:rPr>
                <w:rFonts w:ascii="Arial" w:hAnsi="Arial" w:cs="Arial"/>
                <w:sz w:val="20"/>
                <w:szCs w:val="20"/>
                <w:shd w:val="clear" w:color="auto" w:fill="FFFFFF"/>
              </w:rPr>
              <w:t>S563</w:t>
            </w:r>
          </w:p>
        </w:tc>
        <w:tc>
          <w:tcPr>
            <w:tcW w:w="6654" w:type="dxa"/>
          </w:tcPr>
          <w:p w14:paraId="522C5392" w14:textId="77777777" w:rsidR="00141A88" w:rsidRPr="00654988" w:rsidRDefault="00141A88" w:rsidP="001157D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4B4D9621" w14:textId="77777777" w:rsidTr="00244380">
        <w:trPr>
          <w:gridAfter w:val="1"/>
          <w:wAfter w:w="6654" w:type="dxa"/>
        </w:trPr>
        <w:tc>
          <w:tcPr>
            <w:tcW w:w="2980" w:type="dxa"/>
            <w:gridSpan w:val="2"/>
          </w:tcPr>
          <w:p w14:paraId="4A737B4A" w14:textId="77777777" w:rsidR="007E239D" w:rsidRPr="00654988" w:rsidRDefault="007E239D" w:rsidP="008A28E6">
            <w:pPr>
              <w:rPr>
                <w:rFonts w:ascii="Arial" w:hAnsi="Arial" w:cs="Arial"/>
                <w:sz w:val="20"/>
                <w:szCs w:val="20"/>
                <w:shd w:val="clear" w:color="auto" w:fill="FFFFFF"/>
              </w:rPr>
            </w:pPr>
            <w:r w:rsidRPr="00654988">
              <w:rPr>
                <w:rFonts w:ascii="Arial" w:hAnsi="Arial" w:cs="Arial"/>
                <w:b/>
                <w:shd w:val="clear" w:color="auto" w:fill="FFFFFF"/>
              </w:rPr>
              <w:t>OPTN</w:t>
            </w:r>
          </w:p>
        </w:tc>
      </w:tr>
      <w:tr w:rsidR="00141A88" w:rsidRPr="00654988" w14:paraId="1ECCC856" w14:textId="77777777" w:rsidTr="00244380">
        <w:tc>
          <w:tcPr>
            <w:tcW w:w="2980" w:type="dxa"/>
            <w:gridSpan w:val="2"/>
          </w:tcPr>
          <w:p w14:paraId="7A855E6E" w14:textId="77777777" w:rsidR="00141A88" w:rsidRPr="00654988" w:rsidRDefault="00141A88" w:rsidP="00020C75">
            <w:pPr>
              <w:rPr>
                <w:rFonts w:ascii="Arial" w:hAnsi="Arial" w:cs="Arial"/>
                <w:sz w:val="20"/>
                <w:szCs w:val="20"/>
                <w:shd w:val="clear" w:color="auto" w:fill="FFFFFF"/>
              </w:rPr>
            </w:pPr>
            <w:r w:rsidRPr="00654988">
              <w:rPr>
                <w:rFonts w:ascii="Arial" w:hAnsi="Arial" w:cs="Arial"/>
                <w:sz w:val="20"/>
                <w:szCs w:val="20"/>
                <w:shd w:val="clear" w:color="auto" w:fill="FFFFFF"/>
              </w:rPr>
              <w:t>S184</w:t>
            </w:r>
          </w:p>
        </w:tc>
        <w:tc>
          <w:tcPr>
            <w:tcW w:w="6654" w:type="dxa"/>
          </w:tcPr>
          <w:p w14:paraId="6984981F" w14:textId="77777777" w:rsidR="00141A88" w:rsidRPr="00654988" w:rsidRDefault="00141A88" w:rsidP="00020C75">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8372DBE" w14:textId="77777777" w:rsidTr="00244380">
        <w:tc>
          <w:tcPr>
            <w:tcW w:w="2980" w:type="dxa"/>
            <w:gridSpan w:val="2"/>
          </w:tcPr>
          <w:p w14:paraId="312E5460" w14:textId="77777777" w:rsidR="00141A88" w:rsidRPr="00654988" w:rsidRDefault="00141A88" w:rsidP="008A28E6">
            <w:pPr>
              <w:rPr>
                <w:rFonts w:ascii="Arial" w:hAnsi="Arial" w:cs="Arial"/>
                <w:sz w:val="20"/>
                <w:szCs w:val="20"/>
                <w:shd w:val="clear" w:color="auto" w:fill="FFFFFF"/>
              </w:rPr>
            </w:pPr>
            <w:r w:rsidRPr="00654988">
              <w:rPr>
                <w:rFonts w:ascii="Arial" w:hAnsi="Arial" w:cs="Arial"/>
                <w:sz w:val="20"/>
                <w:szCs w:val="20"/>
                <w:shd w:val="clear" w:color="auto" w:fill="FFFFFF"/>
              </w:rPr>
              <w:t>S187</w:t>
            </w:r>
          </w:p>
        </w:tc>
        <w:tc>
          <w:tcPr>
            <w:tcW w:w="6654" w:type="dxa"/>
          </w:tcPr>
          <w:p w14:paraId="5967A524" w14:textId="046F1B79" w:rsidR="00141A88" w:rsidRPr="00654988" w:rsidRDefault="009070B3" w:rsidP="00A073A9">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 xml:space="preserve">Phosphorylation </w:t>
            </w:r>
            <w:r w:rsidR="008D2871">
              <w:rPr>
                <w:rFonts w:ascii="Arial" w:hAnsi="Arial" w:cs="Arial"/>
                <w:sz w:val="20"/>
                <w:szCs w:val="20"/>
                <w:shd w:val="clear" w:color="auto" w:fill="FFFFFF"/>
              </w:rPr>
              <w:t>at</w:t>
            </w:r>
            <w:r w:rsidRPr="00654988">
              <w:rPr>
                <w:rFonts w:ascii="Arial" w:hAnsi="Arial" w:cs="Arial"/>
                <w:sz w:val="20"/>
                <w:szCs w:val="20"/>
                <w:shd w:val="clear" w:color="auto" w:fill="FFFFFF"/>
              </w:rPr>
              <w:t xml:space="preserve"> this site requires </w:t>
            </w:r>
            <w:r w:rsidR="00141A88" w:rsidRPr="00654988">
              <w:rPr>
                <w:rFonts w:ascii="Arial" w:hAnsi="Arial" w:cs="Arial"/>
                <w:sz w:val="20"/>
                <w:szCs w:val="20"/>
                <w:shd w:val="clear" w:color="auto" w:fill="FFFFFF"/>
              </w:rPr>
              <w:t>TBK1</w:t>
            </w:r>
            <w:r w:rsidRPr="00654988">
              <w:rPr>
                <w:rFonts w:ascii="Arial" w:hAnsi="Arial" w:cs="Arial"/>
                <w:sz w:val="20"/>
                <w:szCs w:val="20"/>
                <w:shd w:val="clear" w:color="auto" w:fill="FFFFFF"/>
              </w:rPr>
              <w:t xml:space="preserve"> </w:t>
            </w:r>
            <w:r w:rsidR="00141A88" w:rsidRPr="00654988">
              <w:rPr>
                <w:rFonts w:ascii="Arial" w:hAnsi="Arial" w:cs="Arial"/>
                <w:sz w:val="20"/>
                <w:szCs w:val="20"/>
                <w:shd w:val="clear" w:color="auto" w:fill="FFFFFF"/>
              </w:rPr>
              <w:t>in response to LPS in macrophages. Th</w:t>
            </w:r>
            <w:r w:rsidRPr="00654988">
              <w:rPr>
                <w:rFonts w:ascii="Arial" w:hAnsi="Arial" w:cs="Arial"/>
                <w:sz w:val="20"/>
                <w:szCs w:val="20"/>
                <w:shd w:val="clear" w:color="auto" w:fill="FFFFFF"/>
              </w:rPr>
              <w:t xml:space="preserve">ese events enhance OPTN binding to ubiquitin chains and LC3, which is important for mitophagy and xenophagy </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{"citationID":"4xygdtwD","properties":{"formattedCitation":"(Gleason et al., 2011; Heo et al., 2015; Lazarou et al., 2015; Moore and Holzbaur, 2016; Richter et al., 2016; Wild et al., 2011)","plainCitation":"(Gleason et al., 2011; Heo et al., 2015; Lazarou et al., 2015; Moore and Holzbaur, 2016; Richter et al., 2016; Wild et al., 2011)","noteIndex":0},"citationItems":[{"id":443,"uris":["http://zotero.org/users/2503601/items/ACE6WTB2"],"uri":["http://zotero.org/users/2503601/items/ACE6WTB2"],"itemData":{"id":443,"type":"article-journal","abstract":"Protein aggregates and damaged organelles are tagged with ubiquitin chains to trigger selective autophagy. To initiate mitophagy, the ubiquitin kinase PINK1 phosphorylates ubiquitin to activate the ubiquitin ligase parkin, which builds ubiquitin chains on mitochondrial outer membrane proteins, where they act to recruit autophagy receptors. Using genome editing to knockout five autophagy receptors in HeLa cells, here we show that two receptors previously linked to xenophagy, NDP52 and optineurin, are the primary receptors for PINK1- and parkin-mediated mitophagy. PINK1 recruits NDP52 and optineurin, but not p62, to mitochondria to activate mitophagy directly, independently of parkin. Once recruited to mitochondria, NDP52 and optineurin recruit the autophagy factors ULK1, DFCP1 and WIPI1 to focal spots proximal to mitochondria, revealing a function for these autophagy receptors upstream of LC3. This supports a new model in which PINK1-generated phospho-ubiquitin serves as the autophagy signal on mitochondria, and parkin then acts to amplify this signal. This work also suggests direct and broader roles for ubiquitin phosphorylation in other autophagy pathways.","container-title":"Nature","DOI":"10.1038/nature14893","ISSN":"1476-4687","issue":"7565","journalAbbreviation":"Nature","language":"eng","note":"PMID: 26266977","page":"309-314","source":"PubMed","title":"The ubiquitin kinase PINK1 recruits autophagy receptors to induce mitophagy","volume":"524","author":[{"family":"Lazarou","given":"Michael"},{"family":"Sliter","given":"Danielle A."},{"family":"Kane","given":"Lesley A."},{"family":"Sarraf","given":"Shireen A."},{"family":"Wang","given":"Chunxin"},{"family":"Burman","given":"Jonathon L."},{"family":"Sideris","given":"Dionisia P."},{"family":"Fogel","given":"Adam I."},{"family":"Youle","given":"Richard J."}],"issued":{"date-parts":[["2015",8,20]]}}},{"id":2720,"uris":["http://zotero.org/groups/2342045/items/3AMRAQV5"],"uri":["http://zotero.org/groups/2342045/items/3AMRAQV5"],"itemData":{"id":2720,"type":"article-journal","abstract":"Selective autophagy of damaged mitochondria requires autophagy receptors optineurin (OPTN), NDP52 (CALCOCO2), TAX1BP1, and p62 (SQSTM1) linking ubiquitinated cargo to autophagic membranes. By using quantitative proteomics, we show that Tank-binding kinase 1 (TBK1) phosphorylates all four receptors on several autophagy-relevant sites, including the ubiquitin- and LC3-binding domains of OPTN and p62/SQSTM1 as well as the SKICH domains of NDP52 and TAX1BP1. Constitutive interaction of TBK1 with OPTN and the ability of OPTN to bind to ubiquitin chains are essential for TBK1 recruitment and kinase activation on mitochondria. TBK1 in turn phosphorylates OPTN’s UBAN domain at S473, thereby expanding the binding capacity of OPTN to diverse Ub chains. In combination with phosphorylation of S177 and S513, this posttranslational modification promotes recruitment and retention of OPTN/TBK1 on ubiquitinated, damaged mitochondria. Moreover, phosphorylation of OPTN on S473 enables binding to pS65 Ub chains and is also implicated in PINK1-driven and Parkin-independent mitophagy. Thus, TBK1-mediated phosphorylation of autophagy receptors creates a signal amplification loop operating in selective autophagy of damaged mitochondria.","container-title":"Proceedings of the National Academy of Sciences","DOI":"10.1073/pnas.1523926113","ISSN":"0027-8424, 1091-6490","issue":"15","journalAbbreviation":"PNAS","language":"en","note":"publisher: National Academy of Sciences\nsection: Biological Sciences\nPMID: 27035970","page":"4039-4044","source":"www.pnas.org","title":"Phosphorylation of OPTN by TBK1 enhances its binding to Ub chains and promotes selective autophagy of damaged mitochondria","volume":"113","author":[{"family":"Richter","given":"Benjamin"},{"family":"Sliter","given":"Danielle A."},{"family":"Herhaus","given":"Lina"},{"family":"Stolz","given":"Alexandra"},{"family":"Wang","given":"Chunxin"},{"family":"Beli","given":"Petra"},{"family":"Zaffagnini","given":"Gabriele"},{"family":"Wild","given":"Philipp"},{"family":"Martens","given":"Sascha"},{"family":"Wagner","given":"Sebastian A."},{"family":"Youle","given":"Richard J."},{"family":"Dikic","given":"Ivan"}],"issued":{"date-parts":[["2016",4,12]]}}},{"id":2729,"uris":["http://zotero.org/groups/2342045/items/66FYTCIZ"],"uri":["http://zotero.org/groups/2342045/items/66FYTCIZ"],"itemData":{"id":2729,"type":"article-journal","abstract":"Selective autophagy can be mediated via receptor molecules that link specific cargoes to the autophagosomal membranes decorated by ubiquitin-like microtubule-associated protein light chain 3 (LC3) modifiers. Although several autophagy receptors have been identified, little is known about mechanisms controlling their functions in vivo. In this work, we found that phosphorylation of an autophagy receptor, optineurin, promoted selective autophagy of ubiquitin-coated cytosolic Salmonella enterica. The protein kinase TANK binding kinase 1 (TBK1) phosphorylated optineurin on serine-177, enhancing LC3 binding affinity and autophagic clearance of cytosolic Salmonella. Conversely, ubiquitin- or LC3-binding optineurin mutants and silencing of optineurin or TBK1 impaired Salmonella autophagy, resulting in increased intracellular bacterial proliferation. We propose that phosphorylation of autophagy receptors might be a general mechanism for regulation of cargo-selective autophagy.\nPhosphorylation of an autophagy receptor restricts pathogenic cytosolic bacterial growth.\nPhosphorylation of an autophagy receptor restricts pathogenic cytosolic bacterial growth.","container-title":"Science","DOI":"10.1126/science.1205405","ISSN":"0036-8075, 1095-9203","issue":"6039","language":"en","note":"publisher: American Association for the Advancement of Science\nsection: Report\nPMID: 21617041","page":"228-233","source":"science.sciencemag.org","title":"Phosphorylation of the Autophagy Receptor Optineurin Restricts Salmonella Growth","volume":"333","author":[{"family":"Wild","given":"Philipp"},{"family":"Farhan","given":"Hesso"},{"family":"McEwan","given":"David G."},{"family":"Wagner","given":"Sebastian"},{"family":"Rogov","given":"Vladimir V."},{"family":"Brady","given":"Nathan R."},{"family":"Richter","given":"Benjamin"},{"family":"Korac","given":"Jelena"},{"family":"Waidmann","given":"Oliver"},{"family":"Choudhary","given":"Chunaram"},{"family":"Dötsch","given":"Volker"},{"family":"Bumann","given":"Dirk"},{"family":"Dikic","given":"Ivan"}],"issued":{"date-parts":[["2011",7,8]]}}},{"id":2689,"uris":["http://zotero.org/groups/2342045/items/IZWWRJYC"],"uri":["http://zotero.org/groups/2342045/items/IZWWRJYC"],"itemData":{"id":2689,"type":"article-journal","abstract":"TANK-binding kinase (TBK1) is essential for transcription of the interferon (IFN) β gene in response to lipopolysaccharide (LPS) and double stranded RNA, but the molecular mechanisms that underlie the activation of TBK1 are incompletely understood. Previously, we identified the NEMO-related polyubiquitin-binding protein, optineurin (OPTN), as a novel binding partner of TBK1. To determine if the ubiquitin-binding function of OPTN is involved in regulating TBK1 and IFNβ production, we generated a mouse in which wild-type optineurin was replaced by the polyubiquitin binding-defective mutant, OPTN(D477N/D477N). In this study, we found that LPS or poly(I:C)-induced TBK1 activity was significantly reduced in BMDMs from OPTN(D477N/D477N) mice. Consistent with this, the phosphorylation of IFN regulatory factor 3 (IRF3) and the production of IFNβ mRNA and secretion were reduced. Stimulation of BMDMs with LPS triggered the phosphorylation of OPTN, which was reversed by phosphatase treatment and prevented by pharmacological inhibition of both the canonical IκB kinases (IKKα/β) and the IKK-related kinases (TBK1/IKKϵ). In contrast, LPS-stimulated phosphorylation of OPTN[D477N] was markedly reduced in BMDMs from OPTN(D477N/D477N) mice and inhibition of the canonical IKKs alone prevented phosphorylation, providing further evidence that ubiquitin binding to OPTN contributes to LPS-induced TBK1 activation. TBK1 and IKKβ phosphorylated OPTN preferentially at Ser177 and Ser513, respectively, in vitro. In conclusion, our results suggest that OPTN binds to polyubiquitylated species formed in response to LPS and poly(I:C), enhancing the activation of TBK1 which is required for optimal phosphorylation of IRF3 and production of IFNβ.","container-title":"Journal of Biological Chemistry","DOI":"10.1074/jbc.M111.267567","ISSN":"0021-9258, 1083-351X","journalAbbreviation":"J. Biol. Chem.","language":"en","note":"publisher: American Society for Biochemistry and Molecular Biology\nPMID: 21862579","page":"jbc.M111.267567","source":"www.jbc.org","title":"Polyubiquitin binding to optineurin is required for optimal activation of TANK-binding kinase 1 and the production of interferon β","author":[{"family":"Gleason","given":"Catherine E."},{"family":"Ordureau","given":"Alban"},{"family":"Gourlay","given":"Robert"},{"family":"Arthur","given":"J. Simon C."},{"family":"Cohen","given":"Philip"}],"issued":{"date-parts":[["2011",8,23]]}}},{"id":2693,"uris":["http://zotero.org/groups/2342045/items/68VY2DMB"],"uri":["http://zotero.org/groups/2342045/items/68VY2DMB"],"itemData":{"id":2693,"type":"article-journal","abstract":"Damaged mitochondria are detrimental to cellular homeostasis. One mechanism for removal of damaged mitochondria involves the PINK1-PARKIN pathway, which poly-ubiquitylates damaged mitochondria to promote mitophagy. We report that assembly of ubiquitin chains on mitochondria triggers autophagy adaptor recruitment concomitantly with activation of the TBK1 kinase, which physically associates with OPTN, NDP52, and SQSTM1. TBK1 activation in HeLa cells requires OPTN and NDP52 and OPTN ubiquitin chain binding. In addition to the known role of S177 phosphorylation in OPTN on ATG8 recruitment, TBK1-dependent phosphorylation on S473 and S513 promotes ubiquitin chain binding in vitro as well as TBK1 activation, OPTN mitochondrial retention, and efficient mitophagy in vivo. These data reveal a self-reinforcing positive feedback mechanism that coordinates TBK1-dependent autophagy adaptor phosphorylation with the assembly of ubiquitin chains on mitochondria to facilitate efficient mitophagy, and mechanistically links genes mutated in Parkinson’s disease and amyotrophic lateral sclerosis in a common selective autophagy pathway.","container-title":"Molecular Cell","DOI":"10.1016/j.molcel.2015.08.016","ISSN":"1097-2765","issue":"1","journalAbbreviation":"Molecular Cell","language":"en","page":"7-20","source":"ScienceDirect","title":"The PINK1-PARKIN Mitochondrial Ubiquitylation Pathway Drives a Program of OPTN/NDP52 Recruitment and TBK1 Activation to Promote Mitophagy","volume":"60","author":[{"family":"Heo","given":"Jin-Mi"},{"family":"Ordureau","given":"Alban"},{"family":"Paulo","given":"Joao A."},{"family":"Rinehart","given":"Jesse"},{"family":"Harper","given":"J. Wade"}],"issued":{"date-parts":[["2015",10,1]]}}},{"id":2744,"uris":["http://zotero.org/groups/2342045/items/T659AAGQ"],"uri":["http://zotero.org/groups/2342045/items/T659AAGQ"],"itemData":{"id":2744,"type":"article-journal","abstract":"Mitochondria play an essential role in maintaining cellular homeostasis. The removal of damaged or depolarized mitochondria occurs via mitophagy, in which damaged mitochondria are targeted for degradation via ubiquitination induced by PTEN-induced putative kinase 1 (PINK1) and Parkin. Mitophagy receptors, including optineurin (OPTN), nuclear dot 52 kDa protein (NDP52), and Tax1-binding protein 1 (TAX1BP1), are recruited to mitochondria via ubiquitin binding and mediate autophagic engulfment through their association with microtubule-associated protein light chain 3 (LC3). Here, we use live-cell imaging to demonstrate that OPTN, NDP52, and TAX1BP1 are recruited to mitochondria with similar kinetics following either mitochondrial depolarization or localized generation of reactive oxygen species, leading to sequestration by the autophagosome within </w:instrText>
            </w:r>
            <w:r w:rsidR="008255B7">
              <w:rPr>
                <w:rFonts w:ascii="Cambria Math" w:hAnsi="Cambria Math" w:cs="Cambria Math"/>
                <w:sz w:val="20"/>
                <w:szCs w:val="20"/>
                <w:shd w:val="clear" w:color="auto" w:fill="FFFFFF"/>
              </w:rPr>
              <w:instrText>∼</w:instrText>
            </w:r>
            <w:r w:rsidR="008255B7">
              <w:rPr>
                <w:rFonts w:ascii="Arial" w:hAnsi="Arial" w:cs="Arial"/>
                <w:sz w:val="20"/>
                <w:szCs w:val="20"/>
                <w:shd w:val="clear" w:color="auto" w:fill="FFFFFF"/>
              </w:rPr>
              <w:instrText xml:space="preserve">45 min after insult. Despite this corecruitment, we find that depletion of OPTN, but not NDP52, significantly slows the efficiency of sequestration. OPTN is phosphorylated by the kinase TANK-binding kinase 1 (TBK1) at serine 177; we find that TBK1 is corecruited with OPTN to depolarized mitochondria. Inhibition or depletion of TBK1, or expression of amyotrophic lateral sclerosis (ALS)-associated OPTN or TBK1 mutant blocks efficient autophagosome formation. Together, these results indicate that although there is some functional redundancy among mitophagy receptors, efficient sequestration of damaged mitochondria in response to mitochondrial stress requires both TBK1 and OPTN. Notably, ALS-linked mutations in OPTN and TBK1 can interfere with mitophagy, suggesting that inefficient turnover of damaged mitochondria may represent a key pathophysiological mechanism contributing to neurodegenerative disease.","container-title":"Proceedings of the National Academy of Sciences of the United States of America","DOI":"10.1073/pnas.1523810113","ISSN":"1091-6490","issue":"24","journalAbbreviation":"Proc. Natl. Acad. Sci. U.S.A.","language":"eng","note":"PMID: 27247382\nPMCID: PMC4914160","page":"E3349-3358","source":"PubMed","title":"Dynamic recruitment and activation of ALS-associated TBK1 with its target optineurin are required for efficient mitophagy","volume":"113","author":[{"family":"Moore","given":"Andrew S."},{"family":"Holzbaur","given":"Erika L. F."}],"issued":{"date-parts":[["2016"]],"season":"14"}}}],"schema":"https://github.com/citation-style-language/schema/raw/master/csl-citation.json"}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(Gleason et al., 2011; Heo et al., 2015; Lazarou et al., 2015; Moore and Holzbaur, 2016; Richter et al., 2016; Wild et al., 2011)</w:t>
            </w:r>
            <w:r w:rsidR="00A073A9">
              <w:rPr>
                <w:rFonts w:ascii="Arial" w:hAnsi="Arial" w:cs="Arial"/>
                <w:sz w:val="20"/>
                <w:szCs w:val="20"/>
                <w:shd w:val="clear" w:color="auto" w:fill="FFFFFF"/>
              </w:rPr>
              <w:fldChar w:fldCharType="end"/>
            </w:r>
          </w:p>
        </w:tc>
      </w:tr>
      <w:tr w:rsidR="00141A88" w:rsidRPr="00654988" w14:paraId="6FBF8D41" w14:textId="77777777" w:rsidTr="00244380">
        <w:tc>
          <w:tcPr>
            <w:tcW w:w="2980" w:type="dxa"/>
            <w:gridSpan w:val="2"/>
          </w:tcPr>
          <w:p w14:paraId="77E2BFCA" w14:textId="77777777" w:rsidR="00141A88" w:rsidRPr="00654988" w:rsidRDefault="00141A88" w:rsidP="008919FF">
            <w:pPr>
              <w:rPr>
                <w:rFonts w:ascii="Arial" w:hAnsi="Arial" w:cs="Arial"/>
                <w:sz w:val="20"/>
                <w:szCs w:val="20"/>
                <w:shd w:val="clear" w:color="auto" w:fill="FFFFFF"/>
              </w:rPr>
            </w:pPr>
            <w:r w:rsidRPr="00654988">
              <w:rPr>
                <w:rFonts w:ascii="Arial" w:hAnsi="Arial" w:cs="Arial"/>
                <w:sz w:val="20"/>
                <w:szCs w:val="20"/>
                <w:shd w:val="clear" w:color="auto" w:fill="FFFFFF"/>
              </w:rPr>
              <w:t>T210</w:t>
            </w:r>
          </w:p>
        </w:tc>
        <w:tc>
          <w:tcPr>
            <w:tcW w:w="6654" w:type="dxa"/>
          </w:tcPr>
          <w:p w14:paraId="50E4ACA1" w14:textId="77777777" w:rsidR="00141A88" w:rsidRPr="00654988" w:rsidRDefault="00141A88" w:rsidP="008919FF">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01D0094B" w14:textId="77777777" w:rsidTr="00244380">
        <w:tc>
          <w:tcPr>
            <w:tcW w:w="2980" w:type="dxa"/>
            <w:gridSpan w:val="2"/>
          </w:tcPr>
          <w:p w14:paraId="229ADE9E" w14:textId="77777777" w:rsidR="00141A88" w:rsidRPr="00654988" w:rsidRDefault="00141A88" w:rsidP="008919FF">
            <w:pPr>
              <w:rPr>
                <w:rFonts w:ascii="Arial" w:hAnsi="Arial" w:cs="Arial"/>
                <w:sz w:val="20"/>
                <w:szCs w:val="20"/>
                <w:shd w:val="clear" w:color="auto" w:fill="FFFFFF"/>
              </w:rPr>
            </w:pPr>
            <w:r w:rsidRPr="00654988">
              <w:rPr>
                <w:rFonts w:ascii="Arial" w:hAnsi="Arial" w:cs="Arial"/>
                <w:sz w:val="20"/>
                <w:szCs w:val="20"/>
                <w:shd w:val="clear" w:color="auto" w:fill="FFFFFF"/>
              </w:rPr>
              <w:t>S218</w:t>
            </w:r>
          </w:p>
        </w:tc>
        <w:tc>
          <w:tcPr>
            <w:tcW w:w="6654" w:type="dxa"/>
          </w:tcPr>
          <w:p w14:paraId="2A5B0B5F" w14:textId="77777777" w:rsidR="00141A88" w:rsidRPr="00654988" w:rsidRDefault="00141A88" w:rsidP="008919FF">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2E1B9CB8" w14:textId="77777777" w:rsidTr="00244380">
        <w:tc>
          <w:tcPr>
            <w:tcW w:w="2980" w:type="dxa"/>
            <w:gridSpan w:val="2"/>
          </w:tcPr>
          <w:p w14:paraId="25012431" w14:textId="77777777" w:rsidR="00141A88" w:rsidRPr="00654988" w:rsidRDefault="00141A88" w:rsidP="00005475">
            <w:pPr>
              <w:rPr>
                <w:rFonts w:ascii="Arial" w:hAnsi="Arial" w:cs="Arial"/>
                <w:sz w:val="20"/>
                <w:szCs w:val="20"/>
                <w:shd w:val="clear" w:color="auto" w:fill="FFFFFF"/>
              </w:rPr>
            </w:pPr>
            <w:r w:rsidRPr="00654988">
              <w:rPr>
                <w:rFonts w:ascii="Arial" w:hAnsi="Arial" w:cs="Arial"/>
                <w:sz w:val="20"/>
                <w:szCs w:val="20"/>
                <w:shd w:val="clear" w:color="auto" w:fill="FFFFFF"/>
              </w:rPr>
              <w:t>S530</w:t>
            </w:r>
          </w:p>
        </w:tc>
        <w:tc>
          <w:tcPr>
            <w:tcW w:w="6654" w:type="dxa"/>
          </w:tcPr>
          <w:p w14:paraId="37D62A25" w14:textId="77777777" w:rsidR="00141A88" w:rsidRPr="00654988" w:rsidRDefault="00141A88" w:rsidP="00005475">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6B7936B" w14:textId="77777777" w:rsidTr="00244380">
        <w:tc>
          <w:tcPr>
            <w:tcW w:w="2980" w:type="dxa"/>
            <w:gridSpan w:val="2"/>
          </w:tcPr>
          <w:p w14:paraId="7457F90F" w14:textId="77777777" w:rsidR="00141A88" w:rsidRPr="00654988" w:rsidRDefault="00141A88" w:rsidP="00005475">
            <w:pPr>
              <w:rPr>
                <w:rFonts w:ascii="Arial" w:hAnsi="Arial" w:cs="Arial"/>
                <w:sz w:val="20"/>
                <w:szCs w:val="20"/>
                <w:shd w:val="clear" w:color="auto" w:fill="FFFFFF"/>
              </w:rPr>
            </w:pPr>
            <w:r w:rsidRPr="00654988">
              <w:rPr>
                <w:rFonts w:ascii="Arial" w:hAnsi="Arial" w:cs="Arial"/>
                <w:sz w:val="20"/>
                <w:szCs w:val="20"/>
                <w:shd w:val="clear" w:color="auto" w:fill="FFFFFF"/>
              </w:rPr>
              <w:t>S547</w:t>
            </w:r>
          </w:p>
        </w:tc>
        <w:tc>
          <w:tcPr>
            <w:tcW w:w="6654" w:type="dxa"/>
          </w:tcPr>
          <w:p w14:paraId="6DFAB9D2" w14:textId="77777777" w:rsidR="00141A88" w:rsidRPr="00654988" w:rsidRDefault="00141A88" w:rsidP="00005475">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10B17264" w14:textId="77777777" w:rsidTr="00244380">
        <w:tc>
          <w:tcPr>
            <w:tcW w:w="2980" w:type="dxa"/>
            <w:gridSpan w:val="2"/>
          </w:tcPr>
          <w:p w14:paraId="0B9F3987" w14:textId="77777777" w:rsidR="00141A88" w:rsidRPr="00654988" w:rsidRDefault="00141A88" w:rsidP="00005475">
            <w:pPr>
              <w:rPr>
                <w:rFonts w:ascii="Arial" w:hAnsi="Arial" w:cs="Arial"/>
                <w:sz w:val="20"/>
                <w:szCs w:val="20"/>
                <w:shd w:val="clear" w:color="auto" w:fill="FFFFFF"/>
              </w:rPr>
            </w:pPr>
            <w:r w:rsidRPr="00654988">
              <w:rPr>
                <w:rFonts w:ascii="Arial" w:hAnsi="Arial" w:cs="Arial"/>
                <w:sz w:val="20"/>
                <w:szCs w:val="20"/>
                <w:shd w:val="clear" w:color="auto" w:fill="FFFFFF"/>
              </w:rPr>
              <w:t>S556</w:t>
            </w:r>
          </w:p>
        </w:tc>
        <w:tc>
          <w:tcPr>
            <w:tcW w:w="6654" w:type="dxa"/>
          </w:tcPr>
          <w:p w14:paraId="766EB8B8" w14:textId="77777777" w:rsidR="00141A88" w:rsidRPr="00654988" w:rsidRDefault="00141A88" w:rsidP="00005475">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3E14DE74" w14:textId="77777777" w:rsidTr="00244380">
        <w:trPr>
          <w:gridAfter w:val="1"/>
          <w:wAfter w:w="6654" w:type="dxa"/>
        </w:trPr>
        <w:tc>
          <w:tcPr>
            <w:tcW w:w="2980" w:type="dxa"/>
            <w:gridSpan w:val="2"/>
          </w:tcPr>
          <w:p w14:paraId="027E3070" w14:textId="77777777" w:rsidR="007E239D" w:rsidRPr="00654988" w:rsidRDefault="007E239D" w:rsidP="00005475">
            <w:pPr>
              <w:rPr>
                <w:rFonts w:ascii="Arial" w:hAnsi="Arial" w:cs="Arial"/>
                <w:sz w:val="20"/>
                <w:szCs w:val="20"/>
                <w:shd w:val="clear" w:color="auto" w:fill="FFFFFF"/>
              </w:rPr>
            </w:pPr>
            <w:r w:rsidRPr="00654988">
              <w:rPr>
                <w:rFonts w:ascii="Arial" w:hAnsi="Arial" w:cs="Arial"/>
                <w:b/>
                <w:shd w:val="clear" w:color="auto" w:fill="FFFFFF"/>
              </w:rPr>
              <w:t>TOLIP</w:t>
            </w:r>
          </w:p>
        </w:tc>
      </w:tr>
      <w:tr w:rsidR="00141A88" w:rsidRPr="00654988" w14:paraId="2B99CB9D" w14:textId="77777777" w:rsidTr="00244380">
        <w:tc>
          <w:tcPr>
            <w:tcW w:w="2980" w:type="dxa"/>
            <w:gridSpan w:val="2"/>
          </w:tcPr>
          <w:p w14:paraId="41A6D099" w14:textId="77777777" w:rsidR="00141A88" w:rsidRPr="00654988" w:rsidRDefault="00141A88" w:rsidP="00502F10">
            <w:pPr>
              <w:rPr>
                <w:rFonts w:ascii="Arial" w:hAnsi="Arial" w:cs="Arial"/>
                <w:sz w:val="20"/>
                <w:szCs w:val="20"/>
                <w:shd w:val="clear" w:color="auto" w:fill="FFFFFF"/>
              </w:rPr>
            </w:pPr>
            <w:r w:rsidRPr="00654988">
              <w:rPr>
                <w:rFonts w:ascii="Arial" w:hAnsi="Arial" w:cs="Arial"/>
                <w:sz w:val="20"/>
                <w:szCs w:val="20"/>
                <w:shd w:val="clear" w:color="auto" w:fill="FFFFFF"/>
              </w:rPr>
              <w:t>K63</w:t>
            </w:r>
          </w:p>
        </w:tc>
        <w:tc>
          <w:tcPr>
            <w:tcW w:w="6654" w:type="dxa"/>
          </w:tcPr>
          <w:p w14:paraId="379D60DD" w14:textId="77777777" w:rsidR="00141A88" w:rsidRPr="00654988" w:rsidRDefault="00141A88" w:rsidP="00502F10">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5C9F225D" w14:textId="77777777" w:rsidTr="00244380">
        <w:tc>
          <w:tcPr>
            <w:tcW w:w="2980" w:type="dxa"/>
            <w:gridSpan w:val="2"/>
          </w:tcPr>
          <w:p w14:paraId="46250AE5" w14:textId="77777777" w:rsidR="00141A88" w:rsidRPr="00654988" w:rsidRDefault="00141A88" w:rsidP="00502F10">
            <w:pPr>
              <w:rPr>
                <w:rFonts w:ascii="Arial" w:hAnsi="Arial" w:cs="Arial"/>
                <w:sz w:val="20"/>
                <w:szCs w:val="20"/>
                <w:shd w:val="clear" w:color="auto" w:fill="FFFFFF"/>
              </w:rPr>
            </w:pPr>
            <w:r w:rsidRPr="00654988">
              <w:rPr>
                <w:rFonts w:ascii="Arial" w:hAnsi="Arial" w:cs="Arial"/>
                <w:sz w:val="20"/>
                <w:szCs w:val="20"/>
                <w:shd w:val="clear" w:color="auto" w:fill="FFFFFF"/>
              </w:rPr>
              <w:t>K66</w:t>
            </w:r>
          </w:p>
        </w:tc>
        <w:tc>
          <w:tcPr>
            <w:tcW w:w="6654" w:type="dxa"/>
          </w:tcPr>
          <w:p w14:paraId="161FCA43" w14:textId="77777777" w:rsidR="00141A88" w:rsidRPr="00654988" w:rsidRDefault="00141A88" w:rsidP="00502F10">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B89C993" w14:textId="77777777" w:rsidTr="00244380">
        <w:tc>
          <w:tcPr>
            <w:tcW w:w="2980" w:type="dxa"/>
            <w:gridSpan w:val="2"/>
          </w:tcPr>
          <w:p w14:paraId="5FF62233" w14:textId="77777777" w:rsidR="00141A88" w:rsidRPr="00654988" w:rsidRDefault="00141A88" w:rsidP="00502F10">
            <w:pPr>
              <w:rPr>
                <w:rFonts w:ascii="Arial" w:hAnsi="Arial" w:cs="Arial"/>
                <w:sz w:val="20"/>
                <w:szCs w:val="20"/>
                <w:shd w:val="clear" w:color="auto" w:fill="FFFFFF"/>
              </w:rPr>
            </w:pPr>
            <w:r w:rsidRPr="00654988">
              <w:rPr>
                <w:rFonts w:ascii="Arial" w:hAnsi="Arial" w:cs="Arial"/>
                <w:sz w:val="20"/>
                <w:szCs w:val="20"/>
                <w:shd w:val="clear" w:color="auto" w:fill="FFFFFF"/>
              </w:rPr>
              <w:t>K143</w:t>
            </w:r>
          </w:p>
        </w:tc>
        <w:tc>
          <w:tcPr>
            <w:tcW w:w="6654" w:type="dxa"/>
          </w:tcPr>
          <w:p w14:paraId="008AE542" w14:textId="77777777" w:rsidR="00141A88" w:rsidRPr="00654988" w:rsidRDefault="00141A88" w:rsidP="00502F10">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46ACD3ED" w14:textId="77777777" w:rsidTr="00244380">
        <w:trPr>
          <w:gridAfter w:val="1"/>
          <w:wAfter w:w="6654" w:type="dxa"/>
        </w:trPr>
        <w:tc>
          <w:tcPr>
            <w:tcW w:w="2980" w:type="dxa"/>
            <w:gridSpan w:val="2"/>
          </w:tcPr>
          <w:p w14:paraId="2006F9E0" w14:textId="77777777" w:rsidR="007E239D" w:rsidRPr="00654988" w:rsidRDefault="007E239D" w:rsidP="00502F10">
            <w:pPr>
              <w:rPr>
                <w:rFonts w:ascii="Arial" w:hAnsi="Arial" w:cs="Arial"/>
                <w:shd w:val="clear" w:color="auto" w:fill="FFFFFF"/>
              </w:rPr>
            </w:pPr>
            <w:r w:rsidRPr="00654988">
              <w:rPr>
                <w:rFonts w:ascii="Arial" w:hAnsi="Arial" w:cs="Arial"/>
                <w:b/>
                <w:shd w:val="clear" w:color="auto" w:fill="FFFFFF"/>
              </w:rPr>
              <w:t>RETR3/FAM143c</w:t>
            </w:r>
          </w:p>
        </w:tc>
      </w:tr>
      <w:tr w:rsidR="00141A88" w:rsidRPr="00654988" w14:paraId="0B2A3380" w14:textId="77777777" w:rsidTr="00244380">
        <w:tc>
          <w:tcPr>
            <w:tcW w:w="2980" w:type="dxa"/>
            <w:gridSpan w:val="2"/>
          </w:tcPr>
          <w:p w14:paraId="6F4B04DC"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t>S26</w:t>
            </w:r>
          </w:p>
        </w:tc>
        <w:tc>
          <w:tcPr>
            <w:tcW w:w="6654" w:type="dxa"/>
          </w:tcPr>
          <w:p w14:paraId="2C065CFD"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0375D491" w14:textId="77777777" w:rsidTr="00244380">
        <w:tc>
          <w:tcPr>
            <w:tcW w:w="2980" w:type="dxa"/>
            <w:gridSpan w:val="2"/>
          </w:tcPr>
          <w:p w14:paraId="6D0663F4"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t>S28</w:t>
            </w:r>
          </w:p>
        </w:tc>
        <w:tc>
          <w:tcPr>
            <w:tcW w:w="6654" w:type="dxa"/>
          </w:tcPr>
          <w:p w14:paraId="29357929"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5D789EB" w14:textId="77777777" w:rsidTr="00244380">
        <w:tc>
          <w:tcPr>
            <w:tcW w:w="2980" w:type="dxa"/>
            <w:gridSpan w:val="2"/>
          </w:tcPr>
          <w:p w14:paraId="5A687AC4"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lastRenderedPageBreak/>
              <w:t>T307</w:t>
            </w:r>
          </w:p>
        </w:tc>
        <w:tc>
          <w:tcPr>
            <w:tcW w:w="6654" w:type="dxa"/>
          </w:tcPr>
          <w:p w14:paraId="753AA4F7"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754555A" w14:textId="77777777" w:rsidTr="00244380">
        <w:tc>
          <w:tcPr>
            <w:tcW w:w="2980" w:type="dxa"/>
            <w:gridSpan w:val="2"/>
          </w:tcPr>
          <w:p w14:paraId="18D2F5AF"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t>T310</w:t>
            </w:r>
          </w:p>
        </w:tc>
        <w:tc>
          <w:tcPr>
            <w:tcW w:w="6654" w:type="dxa"/>
          </w:tcPr>
          <w:p w14:paraId="7027F0F8"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329C1B98" w14:textId="77777777" w:rsidTr="00244380">
        <w:tc>
          <w:tcPr>
            <w:tcW w:w="2980" w:type="dxa"/>
            <w:gridSpan w:val="2"/>
          </w:tcPr>
          <w:p w14:paraId="095B2FE5"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t>S313</w:t>
            </w:r>
          </w:p>
        </w:tc>
        <w:tc>
          <w:tcPr>
            <w:tcW w:w="6654" w:type="dxa"/>
          </w:tcPr>
          <w:p w14:paraId="0A4921A3"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32F65261" w14:textId="77777777" w:rsidTr="00244380">
        <w:tc>
          <w:tcPr>
            <w:tcW w:w="2980" w:type="dxa"/>
            <w:gridSpan w:val="2"/>
          </w:tcPr>
          <w:p w14:paraId="29DB6498" w14:textId="77777777" w:rsidR="00141A88" w:rsidRPr="00654988" w:rsidRDefault="00141A88" w:rsidP="00184266">
            <w:pPr>
              <w:rPr>
                <w:rFonts w:ascii="Arial" w:hAnsi="Arial" w:cs="Arial"/>
                <w:sz w:val="20"/>
                <w:szCs w:val="20"/>
                <w:shd w:val="clear" w:color="auto" w:fill="FFFFFF"/>
              </w:rPr>
            </w:pPr>
            <w:r w:rsidRPr="00654988">
              <w:rPr>
                <w:rFonts w:ascii="Arial" w:hAnsi="Arial" w:cs="Arial"/>
                <w:sz w:val="20"/>
                <w:szCs w:val="20"/>
                <w:shd w:val="clear" w:color="auto" w:fill="FFFFFF"/>
              </w:rPr>
              <w:t>S320</w:t>
            </w:r>
          </w:p>
        </w:tc>
        <w:tc>
          <w:tcPr>
            <w:tcW w:w="6654" w:type="dxa"/>
          </w:tcPr>
          <w:p w14:paraId="60AEF4E8" w14:textId="77777777" w:rsidR="00141A88" w:rsidRPr="00654988" w:rsidRDefault="00141A88" w:rsidP="0018426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7E1BA34" w14:textId="77777777" w:rsidTr="00244380">
        <w:tc>
          <w:tcPr>
            <w:tcW w:w="2980" w:type="dxa"/>
            <w:gridSpan w:val="2"/>
          </w:tcPr>
          <w:p w14:paraId="2EC334DF" w14:textId="77777777" w:rsidR="00141A88" w:rsidRPr="00654988" w:rsidRDefault="00141A88" w:rsidP="00366CF2">
            <w:pPr>
              <w:rPr>
                <w:rFonts w:ascii="Arial" w:hAnsi="Arial" w:cs="Arial"/>
                <w:sz w:val="20"/>
                <w:szCs w:val="20"/>
                <w:shd w:val="clear" w:color="auto" w:fill="FFFFFF"/>
              </w:rPr>
            </w:pPr>
            <w:r w:rsidRPr="00654988">
              <w:rPr>
                <w:rFonts w:ascii="Arial" w:hAnsi="Arial" w:cs="Arial"/>
                <w:sz w:val="20"/>
                <w:szCs w:val="20"/>
                <w:shd w:val="clear" w:color="auto" w:fill="FFFFFF"/>
              </w:rPr>
              <w:t>S360</w:t>
            </w:r>
          </w:p>
        </w:tc>
        <w:tc>
          <w:tcPr>
            <w:tcW w:w="6654" w:type="dxa"/>
          </w:tcPr>
          <w:p w14:paraId="11D01C7E" w14:textId="77777777" w:rsidR="00141A88" w:rsidRPr="00654988" w:rsidRDefault="00141A88" w:rsidP="00366CF2">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12A6A668" w14:textId="77777777" w:rsidTr="00244380">
        <w:trPr>
          <w:gridAfter w:val="1"/>
          <w:wAfter w:w="6654" w:type="dxa"/>
        </w:trPr>
        <w:tc>
          <w:tcPr>
            <w:tcW w:w="2980" w:type="dxa"/>
            <w:gridSpan w:val="2"/>
          </w:tcPr>
          <w:p w14:paraId="29B15215" w14:textId="77777777" w:rsidR="007E239D" w:rsidRPr="00654988" w:rsidRDefault="007E239D" w:rsidP="00184266">
            <w:pPr>
              <w:rPr>
                <w:rFonts w:ascii="Arial" w:hAnsi="Arial" w:cs="Arial"/>
                <w:shd w:val="clear" w:color="auto" w:fill="FFFFFF"/>
              </w:rPr>
            </w:pPr>
            <w:r w:rsidRPr="00654988">
              <w:rPr>
                <w:rFonts w:ascii="Arial" w:hAnsi="Arial" w:cs="Arial"/>
                <w:b/>
                <w:shd w:val="clear" w:color="auto" w:fill="FFFFFF"/>
              </w:rPr>
              <w:t>FUND2</w:t>
            </w:r>
          </w:p>
        </w:tc>
      </w:tr>
      <w:tr w:rsidR="00141A88" w:rsidRPr="00654988" w14:paraId="273A4C0D" w14:textId="77777777" w:rsidTr="00244380">
        <w:tc>
          <w:tcPr>
            <w:tcW w:w="2980" w:type="dxa"/>
            <w:gridSpan w:val="2"/>
          </w:tcPr>
          <w:p w14:paraId="1E4A8ECB" w14:textId="77777777" w:rsidR="00141A88" w:rsidRPr="00654988" w:rsidRDefault="00141A88" w:rsidP="00986D98">
            <w:pPr>
              <w:rPr>
                <w:rFonts w:ascii="Arial" w:hAnsi="Arial" w:cs="Arial"/>
                <w:sz w:val="20"/>
                <w:szCs w:val="20"/>
                <w:shd w:val="clear" w:color="auto" w:fill="FFFFFF"/>
              </w:rPr>
            </w:pPr>
            <w:r w:rsidRPr="00654988">
              <w:rPr>
                <w:rFonts w:ascii="Arial" w:hAnsi="Arial" w:cs="Arial"/>
                <w:sz w:val="20"/>
                <w:szCs w:val="20"/>
                <w:shd w:val="clear" w:color="auto" w:fill="FFFFFF"/>
              </w:rPr>
              <w:t>K23</w:t>
            </w:r>
          </w:p>
        </w:tc>
        <w:tc>
          <w:tcPr>
            <w:tcW w:w="6654" w:type="dxa"/>
          </w:tcPr>
          <w:p w14:paraId="2D54BF44" w14:textId="77777777" w:rsidR="00141A88" w:rsidRPr="00654988" w:rsidRDefault="00141A88" w:rsidP="00986D9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B36ECAE" w14:textId="77777777" w:rsidTr="00244380">
        <w:tc>
          <w:tcPr>
            <w:tcW w:w="2980" w:type="dxa"/>
            <w:gridSpan w:val="2"/>
          </w:tcPr>
          <w:p w14:paraId="028458FB" w14:textId="77777777" w:rsidR="00141A88" w:rsidRPr="00654988" w:rsidRDefault="00141A88" w:rsidP="00986D98">
            <w:pPr>
              <w:rPr>
                <w:rFonts w:ascii="Arial" w:hAnsi="Arial" w:cs="Arial"/>
                <w:sz w:val="20"/>
                <w:szCs w:val="20"/>
                <w:shd w:val="clear" w:color="auto" w:fill="FFFFFF"/>
              </w:rPr>
            </w:pPr>
            <w:r w:rsidRPr="00654988">
              <w:rPr>
                <w:rFonts w:ascii="Arial" w:hAnsi="Arial" w:cs="Arial"/>
                <w:sz w:val="20"/>
                <w:szCs w:val="20"/>
                <w:shd w:val="clear" w:color="auto" w:fill="FFFFFF"/>
              </w:rPr>
              <w:t>K30</w:t>
            </w:r>
          </w:p>
        </w:tc>
        <w:tc>
          <w:tcPr>
            <w:tcW w:w="6654" w:type="dxa"/>
          </w:tcPr>
          <w:p w14:paraId="2A5648E3" w14:textId="77777777" w:rsidR="00141A88" w:rsidRPr="00654988" w:rsidRDefault="00141A88" w:rsidP="00986D9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7BF52235" w14:textId="77777777" w:rsidTr="00244380">
        <w:tc>
          <w:tcPr>
            <w:tcW w:w="2980" w:type="dxa"/>
            <w:gridSpan w:val="2"/>
          </w:tcPr>
          <w:p w14:paraId="1522B33E" w14:textId="77777777" w:rsidR="00141A88" w:rsidRPr="00654988" w:rsidRDefault="00141A88" w:rsidP="00986D98">
            <w:pPr>
              <w:rPr>
                <w:rFonts w:ascii="Arial" w:hAnsi="Arial" w:cs="Arial"/>
                <w:sz w:val="20"/>
                <w:szCs w:val="20"/>
                <w:shd w:val="clear" w:color="auto" w:fill="FFFFFF"/>
              </w:rPr>
            </w:pPr>
            <w:r w:rsidRPr="00654988">
              <w:rPr>
                <w:rFonts w:ascii="Arial" w:hAnsi="Arial" w:cs="Arial"/>
                <w:sz w:val="20"/>
                <w:szCs w:val="20"/>
                <w:shd w:val="clear" w:color="auto" w:fill="FFFFFF"/>
              </w:rPr>
              <w:t>K114</w:t>
            </w:r>
          </w:p>
        </w:tc>
        <w:tc>
          <w:tcPr>
            <w:tcW w:w="6654" w:type="dxa"/>
          </w:tcPr>
          <w:p w14:paraId="6F4317CE" w14:textId="77777777" w:rsidR="00141A88" w:rsidRPr="00654988" w:rsidRDefault="00141A88" w:rsidP="00986D98">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7B0AD713" w14:textId="77777777" w:rsidTr="00244380">
        <w:tc>
          <w:tcPr>
            <w:tcW w:w="2980" w:type="dxa"/>
            <w:gridSpan w:val="2"/>
          </w:tcPr>
          <w:p w14:paraId="062E4C82" w14:textId="77777777" w:rsidR="00141A88" w:rsidRPr="00654988" w:rsidRDefault="00141A88" w:rsidP="00986D98">
            <w:pPr>
              <w:rPr>
                <w:rFonts w:ascii="Arial" w:hAnsi="Arial" w:cs="Arial"/>
                <w:sz w:val="20"/>
                <w:szCs w:val="20"/>
                <w:shd w:val="clear" w:color="auto" w:fill="FFFFFF"/>
              </w:rPr>
            </w:pPr>
            <w:r w:rsidRPr="00654988">
              <w:rPr>
                <w:rFonts w:ascii="Arial" w:hAnsi="Arial" w:cs="Arial"/>
                <w:sz w:val="20"/>
                <w:szCs w:val="20"/>
                <w:shd w:val="clear" w:color="auto" w:fill="FFFFFF"/>
              </w:rPr>
              <w:t>K121</w:t>
            </w:r>
          </w:p>
        </w:tc>
        <w:tc>
          <w:tcPr>
            <w:tcW w:w="6654" w:type="dxa"/>
          </w:tcPr>
          <w:p w14:paraId="3939D771" w14:textId="77777777" w:rsidR="00141A88" w:rsidRPr="00654988" w:rsidRDefault="00141A88" w:rsidP="00986D98">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10631C41" w14:textId="77777777" w:rsidTr="00244380">
        <w:tc>
          <w:tcPr>
            <w:tcW w:w="2980" w:type="dxa"/>
            <w:gridSpan w:val="2"/>
          </w:tcPr>
          <w:p w14:paraId="69E9E99D" w14:textId="77777777" w:rsidR="00141A88" w:rsidRPr="00654988" w:rsidRDefault="00141A88" w:rsidP="005F7537">
            <w:pPr>
              <w:rPr>
                <w:rFonts w:ascii="Arial" w:hAnsi="Arial" w:cs="Arial"/>
                <w:sz w:val="20"/>
                <w:szCs w:val="20"/>
                <w:shd w:val="clear" w:color="auto" w:fill="FFFFFF"/>
              </w:rPr>
            </w:pPr>
            <w:r w:rsidRPr="00654988">
              <w:rPr>
                <w:rFonts w:ascii="Arial" w:hAnsi="Arial" w:cs="Arial"/>
                <w:sz w:val="20"/>
                <w:szCs w:val="20"/>
                <w:shd w:val="clear" w:color="auto" w:fill="FFFFFF"/>
              </w:rPr>
              <w:t>K123</w:t>
            </w:r>
          </w:p>
        </w:tc>
        <w:tc>
          <w:tcPr>
            <w:tcW w:w="6654" w:type="dxa"/>
          </w:tcPr>
          <w:p w14:paraId="4DB413A9" w14:textId="77777777" w:rsidR="00141A88" w:rsidRPr="00654988" w:rsidRDefault="00141A88" w:rsidP="005F7537">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35C1FE49" w14:textId="77777777" w:rsidTr="00244380">
        <w:trPr>
          <w:gridAfter w:val="1"/>
          <w:wAfter w:w="6654" w:type="dxa"/>
        </w:trPr>
        <w:tc>
          <w:tcPr>
            <w:tcW w:w="2980" w:type="dxa"/>
            <w:gridSpan w:val="2"/>
          </w:tcPr>
          <w:p w14:paraId="453FA5A1" w14:textId="77777777" w:rsidR="007E239D" w:rsidRPr="00654988" w:rsidRDefault="007E239D" w:rsidP="005F7537">
            <w:pPr>
              <w:rPr>
                <w:rFonts w:ascii="Arial" w:hAnsi="Arial" w:cs="Arial"/>
                <w:sz w:val="20"/>
                <w:szCs w:val="20"/>
                <w:shd w:val="clear" w:color="auto" w:fill="FFFFFF"/>
              </w:rPr>
            </w:pPr>
            <w:r w:rsidRPr="00654988">
              <w:rPr>
                <w:rFonts w:ascii="Arial" w:hAnsi="Arial" w:cs="Arial"/>
                <w:b/>
                <w:shd w:val="clear" w:color="auto" w:fill="FFFFFF"/>
              </w:rPr>
              <w:t>TBC17</w:t>
            </w:r>
          </w:p>
        </w:tc>
      </w:tr>
      <w:tr w:rsidR="00141A88" w:rsidRPr="00654988" w14:paraId="0B77B7B2" w14:textId="77777777" w:rsidTr="00244380">
        <w:tc>
          <w:tcPr>
            <w:tcW w:w="2980" w:type="dxa"/>
            <w:gridSpan w:val="2"/>
          </w:tcPr>
          <w:p w14:paraId="6E450677" w14:textId="77777777" w:rsidR="00141A88" w:rsidRPr="00654988" w:rsidRDefault="00141A88" w:rsidP="00AB18F1">
            <w:pPr>
              <w:rPr>
                <w:rFonts w:ascii="Arial" w:hAnsi="Arial" w:cs="Arial"/>
                <w:sz w:val="20"/>
                <w:szCs w:val="20"/>
                <w:shd w:val="clear" w:color="auto" w:fill="FFFFFF"/>
              </w:rPr>
            </w:pPr>
            <w:r w:rsidRPr="00654988">
              <w:rPr>
                <w:rFonts w:ascii="Arial" w:hAnsi="Arial" w:cs="Arial"/>
                <w:sz w:val="20"/>
                <w:szCs w:val="20"/>
                <w:shd w:val="clear" w:color="auto" w:fill="FFFFFF"/>
              </w:rPr>
              <w:t>T19</w:t>
            </w:r>
          </w:p>
        </w:tc>
        <w:tc>
          <w:tcPr>
            <w:tcW w:w="6654" w:type="dxa"/>
          </w:tcPr>
          <w:p w14:paraId="6915FC2A" w14:textId="77777777" w:rsidR="00141A88" w:rsidRPr="00654988" w:rsidRDefault="00141A88" w:rsidP="00AB18F1">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57B5CAEE" w14:textId="77777777" w:rsidTr="00244380">
        <w:tc>
          <w:tcPr>
            <w:tcW w:w="2980" w:type="dxa"/>
            <w:gridSpan w:val="2"/>
          </w:tcPr>
          <w:p w14:paraId="0ACED260" w14:textId="77777777" w:rsidR="00141A88" w:rsidRPr="00654988" w:rsidRDefault="00141A88" w:rsidP="00AB18F1">
            <w:pPr>
              <w:rPr>
                <w:rFonts w:ascii="Arial" w:hAnsi="Arial" w:cs="Arial"/>
                <w:sz w:val="20"/>
                <w:szCs w:val="20"/>
                <w:shd w:val="clear" w:color="auto" w:fill="FFFFFF"/>
              </w:rPr>
            </w:pPr>
            <w:r w:rsidRPr="00654988">
              <w:rPr>
                <w:rFonts w:ascii="Arial" w:hAnsi="Arial" w:cs="Arial"/>
                <w:sz w:val="20"/>
                <w:szCs w:val="20"/>
                <w:shd w:val="clear" w:color="auto" w:fill="FFFFFF"/>
              </w:rPr>
              <w:t>S20</w:t>
            </w:r>
          </w:p>
        </w:tc>
        <w:tc>
          <w:tcPr>
            <w:tcW w:w="6654" w:type="dxa"/>
          </w:tcPr>
          <w:p w14:paraId="3B6974E2" w14:textId="77777777" w:rsidR="00141A88" w:rsidRPr="00654988" w:rsidRDefault="00141A88" w:rsidP="00AB18F1">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4786B16E" w14:textId="77777777" w:rsidTr="00244380">
        <w:tc>
          <w:tcPr>
            <w:tcW w:w="2980" w:type="dxa"/>
            <w:gridSpan w:val="2"/>
          </w:tcPr>
          <w:p w14:paraId="7436FB94" w14:textId="77777777" w:rsidR="00141A88" w:rsidRPr="00654988" w:rsidRDefault="00141A88" w:rsidP="00AB18F1">
            <w:pPr>
              <w:rPr>
                <w:rFonts w:ascii="Arial" w:hAnsi="Arial" w:cs="Arial"/>
                <w:sz w:val="20"/>
                <w:szCs w:val="20"/>
                <w:shd w:val="clear" w:color="auto" w:fill="FFFFFF"/>
              </w:rPr>
            </w:pPr>
            <w:r w:rsidRPr="00654988">
              <w:rPr>
                <w:rFonts w:ascii="Arial" w:hAnsi="Arial" w:cs="Arial"/>
                <w:sz w:val="20"/>
                <w:szCs w:val="20"/>
                <w:shd w:val="clear" w:color="auto" w:fill="FFFFFF"/>
              </w:rPr>
              <w:t>S176</w:t>
            </w:r>
          </w:p>
        </w:tc>
        <w:tc>
          <w:tcPr>
            <w:tcW w:w="6654" w:type="dxa"/>
          </w:tcPr>
          <w:p w14:paraId="7C5E44EA" w14:textId="77777777" w:rsidR="00141A88" w:rsidRPr="00654988" w:rsidRDefault="00141A88" w:rsidP="00AB18F1">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141A88" w:rsidRPr="00654988" w14:paraId="20F6FA04" w14:textId="77777777" w:rsidTr="00244380">
        <w:tc>
          <w:tcPr>
            <w:tcW w:w="2980" w:type="dxa"/>
            <w:gridSpan w:val="2"/>
          </w:tcPr>
          <w:p w14:paraId="15519C82" w14:textId="77777777" w:rsidR="00141A88" w:rsidRPr="00654988" w:rsidRDefault="00141A88" w:rsidP="00AB18F1">
            <w:pPr>
              <w:rPr>
                <w:rFonts w:ascii="Arial" w:hAnsi="Arial" w:cs="Arial"/>
                <w:sz w:val="20"/>
                <w:szCs w:val="20"/>
                <w:shd w:val="clear" w:color="auto" w:fill="FFFFFF"/>
              </w:rPr>
            </w:pPr>
            <w:r w:rsidRPr="00654988">
              <w:rPr>
                <w:rFonts w:ascii="Arial" w:hAnsi="Arial" w:cs="Arial"/>
                <w:sz w:val="20"/>
                <w:szCs w:val="20"/>
                <w:shd w:val="clear" w:color="auto" w:fill="FFFFFF"/>
              </w:rPr>
              <w:t>K23</w:t>
            </w:r>
          </w:p>
        </w:tc>
        <w:tc>
          <w:tcPr>
            <w:tcW w:w="6654" w:type="dxa"/>
          </w:tcPr>
          <w:p w14:paraId="76EDEF01" w14:textId="77777777" w:rsidR="00141A88" w:rsidRPr="00654988" w:rsidRDefault="00141A88" w:rsidP="00AB18F1">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141A88" w:rsidRPr="00654988" w14:paraId="6E8CAE89" w14:textId="77777777" w:rsidTr="00244380">
        <w:tc>
          <w:tcPr>
            <w:tcW w:w="2980" w:type="dxa"/>
            <w:gridSpan w:val="2"/>
          </w:tcPr>
          <w:p w14:paraId="3DE240A6" w14:textId="77777777" w:rsidR="00141A88" w:rsidRPr="00654988" w:rsidRDefault="00141A88" w:rsidP="00AB18F1">
            <w:pPr>
              <w:rPr>
                <w:rFonts w:ascii="Arial" w:hAnsi="Arial" w:cs="Arial"/>
                <w:sz w:val="20"/>
                <w:szCs w:val="20"/>
                <w:shd w:val="clear" w:color="auto" w:fill="FFFFFF"/>
              </w:rPr>
            </w:pPr>
            <w:r w:rsidRPr="00654988">
              <w:rPr>
                <w:rFonts w:ascii="Arial" w:hAnsi="Arial" w:cs="Arial"/>
                <w:sz w:val="20"/>
                <w:szCs w:val="20"/>
                <w:shd w:val="clear" w:color="auto" w:fill="FFFFFF"/>
              </w:rPr>
              <w:t>K105</w:t>
            </w:r>
          </w:p>
        </w:tc>
        <w:tc>
          <w:tcPr>
            <w:tcW w:w="6654" w:type="dxa"/>
          </w:tcPr>
          <w:p w14:paraId="2BD6E7F0" w14:textId="77777777" w:rsidR="00141A88" w:rsidRPr="00654988" w:rsidRDefault="00141A88" w:rsidP="00AB18F1">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7E239D" w:rsidRPr="00654988" w14:paraId="6BDBE533" w14:textId="77777777" w:rsidTr="00244380">
        <w:tc>
          <w:tcPr>
            <w:tcW w:w="9634" w:type="dxa"/>
            <w:gridSpan w:val="3"/>
            <w:shd w:val="clear" w:color="auto" w:fill="auto"/>
          </w:tcPr>
          <w:p w14:paraId="2610C17F" w14:textId="77777777" w:rsidR="007E239D" w:rsidRPr="00654988" w:rsidRDefault="007E239D" w:rsidP="005E70AF">
            <w:pPr>
              <w:rPr>
                <w:rFonts w:ascii="Arial" w:hAnsi="Arial" w:cs="Arial"/>
                <w:b/>
                <w:shd w:val="clear" w:color="auto" w:fill="FFFFFF"/>
              </w:rPr>
            </w:pPr>
            <w:r w:rsidRPr="00654988">
              <w:rPr>
                <w:rFonts w:ascii="Arial" w:hAnsi="Arial" w:cs="Arial"/>
                <w:b/>
                <w:shd w:val="clear" w:color="auto" w:fill="FFFFFF"/>
              </w:rPr>
              <w:t>MTOR</w:t>
            </w:r>
          </w:p>
        </w:tc>
      </w:tr>
      <w:tr w:rsidR="006946FD" w:rsidRPr="00654988" w14:paraId="4234808C" w14:textId="77777777" w:rsidTr="00244380">
        <w:tc>
          <w:tcPr>
            <w:tcW w:w="2972" w:type="dxa"/>
          </w:tcPr>
          <w:p w14:paraId="6DF4BAFA" w14:textId="77777777" w:rsidR="006946FD" w:rsidRPr="00654988" w:rsidRDefault="006946FD" w:rsidP="005E70AF">
            <w:pPr>
              <w:rPr>
                <w:rFonts w:ascii="Arial" w:hAnsi="Arial" w:cs="Arial"/>
                <w:sz w:val="20"/>
                <w:szCs w:val="20"/>
                <w:shd w:val="clear" w:color="auto" w:fill="FFFFFF"/>
              </w:rPr>
            </w:pPr>
            <w:r w:rsidRPr="00654988">
              <w:rPr>
                <w:rFonts w:ascii="Arial" w:hAnsi="Arial" w:cs="Arial"/>
                <w:sz w:val="20"/>
                <w:szCs w:val="20"/>
                <w:shd w:val="clear" w:color="auto" w:fill="FFFFFF"/>
              </w:rPr>
              <w:t>S2454</w:t>
            </w:r>
          </w:p>
        </w:tc>
        <w:tc>
          <w:tcPr>
            <w:tcW w:w="6662" w:type="dxa"/>
            <w:gridSpan w:val="2"/>
          </w:tcPr>
          <w:p w14:paraId="60B606EC" w14:textId="655572C5" w:rsidR="006946FD" w:rsidRPr="00654988" w:rsidRDefault="00A073A9" w:rsidP="00A073A9">
            <w:pPr>
              <w:pStyle w:val="ListParagraph"/>
              <w:numPr>
                <w:ilvl w:val="0"/>
                <w:numId w:val="9"/>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Tao </w:t>
            </w:r>
            <w:r w:rsidR="00932756">
              <w:rPr>
                <w:rFonts w:ascii="Arial" w:hAnsi="Arial" w:cs="Arial"/>
                <w:sz w:val="20"/>
                <w:szCs w:val="20"/>
                <w:shd w:val="clear" w:color="auto" w:fill="FFFFFF"/>
              </w:rPr>
              <w:t>et al.</w:t>
            </w:r>
            <w:r>
              <w:rPr>
                <w:rFonts w:ascii="Arial" w:hAnsi="Arial" w:cs="Arial"/>
                <w:sz w:val="20"/>
                <w:szCs w:val="20"/>
                <w:shd w:val="clear" w:color="auto" w:fill="FFFFFF"/>
              </w:rPr>
              <w:t xml:space="preserve"> </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{"citationID":"a8RLcADS","properties":{"formattedCitation":"(Tao et al., 2010)","plainCitation":"(Tao et al., 2010)","noteIndex":0},"citationItems":[{"id":2726,"uris":["http://zotero.org/groups/2342045/items/4VV43AK4"],"uri":["http://zotero.org/groups/2342045/items/4VV43AK4"],"itemData":{"id":2726,"type":"article-journal","abstract":"The mammalian target of rapamycin (mTOR) is a Ser/Thr protein kinase and a major controller of cell growth. In cells, mTOR forms two distinct multiprotein complexes, mTORC1 and mTORC2. The mTORC1 complex can phosphorylate 4EBP1 and S6K1, two key regulators of translation initiation, whereas mTORC2 phosphorylates AKT1, an event required for AKT1 activation. Here, we expressed and purified human mTORC1 and mTORC2 from HEK-293 cells using FLAG-M2 affinity chromatography. Western blotting analysis using phospho-specific antibodies indicated that recombinant mTORC1 and mTORC2 exhibit distinct substrate preferences in vitro, consistent with their roles in cells. To improve our understanding of the enzymatic properties of mTOR alone and mTOR in its complex form, steady-state kinetic profiles of truncated mTOR containing the kinase domain (residues 1360−2549) and mTORC1 were determined. The results revealed that mTORC1 is catalytically less active than truncated mTOR, as evidenced by 4.7- and 3.1-fold decreases in catalytic efficiency, kcat/Km, for ATP and 4EBP1, respectively. We also found that truncated mTOR undergoes autophosphorylation through an intramolecular mechanism. Mass spectrometric analysis identified two novel mTOR autophosphorylation sites, Ser2454 and either Thr2473 or Thr2474, in addition to the previously reported Ser2481 site. Truncated mTOR and mTORC1 were completely inhibited by ATP competitive inhibitors PI103 and BEZ235 and partially inhibited by rapamycin/FKBP12 in a noncompetitive fashion toward ATP. All inhibitors tested exhibited similar inhibitory potencies between mTORC1 and truncated mTOR containing the kinase domain. Our studies presented here provide the first detailed kinetic studies of a recombinant mTOR complex.","container-title":"Biochemistry","DOI":"10.1021/bi100673c","ISSN":"0006-2960","issue":"39","journalAbbreviation":"Biochemistry","note":"publisher: American Chemical Society","page":"8488-8498","source":"ACS Publications","title":"Steady-State Kinetic and Inhibition Studies of the Mammalian Target of Rapamycin (mTOR) Kinase Domain and mTOR Complexes","volume":"49","author":[{"family":"Tao","given":"Zhihua"},{"family":"Barker","given":"John"},{"family":"Shi","given":"Stone D.-H."},{"family":"Gehring","given":"Michael"},{"family":"Sun","given":"Shaoxian"}],"issued":{"date-parts":[["2010",10,5]]}}}],"schema":"https://github.com/citation-style-language/schema/raw/master/csl-citation.json"}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(Tao et al., 2010)</w:t>
            </w:r>
            <w:r>
              <w:rPr>
                <w:rFonts w:ascii="Arial" w:hAnsi="Arial" w:cs="Arial"/>
                <w:sz w:val="20"/>
                <w:szCs w:val="20"/>
                <w:shd w:val="clear" w:color="auto" w:fill="FFFFFF"/>
              </w:rPr>
              <w:fldChar w:fldCharType="end"/>
            </w:r>
            <w:r w:rsidR="006946FD" w:rsidRPr="00654988">
              <w:rPr>
                <w:rFonts w:ascii="Arial" w:hAnsi="Arial" w:cs="Arial"/>
                <w:sz w:val="20"/>
                <w:szCs w:val="20"/>
                <w:shd w:val="clear" w:color="auto" w:fill="FFFFFF"/>
              </w:rPr>
              <w:t xml:space="preserve"> report</w:t>
            </w:r>
            <w:r w:rsidR="004D28AF" w:rsidRPr="00654988">
              <w:rPr>
                <w:rFonts w:ascii="Arial" w:hAnsi="Arial" w:cs="Arial"/>
                <w:sz w:val="20"/>
                <w:szCs w:val="20"/>
                <w:shd w:val="clear" w:color="auto" w:fill="FFFFFF"/>
              </w:rPr>
              <w:t xml:space="preserve">ed </w:t>
            </w:r>
            <w:r w:rsidR="00A3633C" w:rsidRPr="00654988">
              <w:rPr>
                <w:rFonts w:ascii="Arial" w:hAnsi="Arial" w:cs="Arial"/>
                <w:sz w:val="20"/>
                <w:szCs w:val="20"/>
                <w:shd w:val="clear" w:color="auto" w:fill="FFFFFF"/>
              </w:rPr>
              <w:t>auto</w:t>
            </w:r>
            <w:r w:rsidR="006946FD" w:rsidRPr="00654988">
              <w:rPr>
                <w:rFonts w:ascii="Arial" w:hAnsi="Arial" w:cs="Arial"/>
                <w:sz w:val="20"/>
                <w:szCs w:val="20"/>
                <w:shd w:val="clear" w:color="auto" w:fill="FFFFFF"/>
              </w:rPr>
              <w:t xml:space="preserve">phosphorylation </w:t>
            </w:r>
            <w:r w:rsidR="008D2871">
              <w:rPr>
                <w:rFonts w:ascii="Arial" w:hAnsi="Arial" w:cs="Arial"/>
                <w:sz w:val="20"/>
                <w:szCs w:val="20"/>
                <w:shd w:val="clear" w:color="auto" w:fill="FFFFFF"/>
              </w:rPr>
              <w:t>at</w:t>
            </w:r>
            <w:r w:rsidR="006946FD" w:rsidRPr="00654988">
              <w:rPr>
                <w:rFonts w:ascii="Arial" w:hAnsi="Arial" w:cs="Arial"/>
                <w:sz w:val="20"/>
                <w:szCs w:val="20"/>
                <w:shd w:val="clear" w:color="auto" w:fill="FFFFFF"/>
              </w:rPr>
              <w:t xml:space="preserve"> </w:t>
            </w:r>
            <w:r w:rsidR="00A3633C" w:rsidRPr="00654988">
              <w:rPr>
                <w:rFonts w:ascii="Arial" w:hAnsi="Arial" w:cs="Arial"/>
                <w:sz w:val="20"/>
                <w:szCs w:val="20"/>
                <w:shd w:val="clear" w:color="auto" w:fill="FFFFFF"/>
              </w:rPr>
              <w:t xml:space="preserve">this </w:t>
            </w:r>
            <w:r w:rsidR="008D2871">
              <w:rPr>
                <w:rFonts w:ascii="Arial" w:hAnsi="Arial" w:cs="Arial"/>
                <w:sz w:val="20"/>
                <w:szCs w:val="20"/>
                <w:shd w:val="clear" w:color="auto" w:fill="FFFFFF"/>
              </w:rPr>
              <w:t>site that</w:t>
            </w:r>
            <w:r w:rsidR="00A3633C" w:rsidRPr="00654988">
              <w:rPr>
                <w:rFonts w:ascii="Arial" w:hAnsi="Arial" w:cs="Arial"/>
                <w:sz w:val="20"/>
                <w:szCs w:val="20"/>
                <w:shd w:val="clear" w:color="auto" w:fill="FFFFFF"/>
              </w:rPr>
              <w:t xml:space="preserve"> is important for mTOR function</w:t>
            </w:r>
            <w:r w:rsidR="006946FD" w:rsidRPr="00654988">
              <w:rPr>
                <w:rFonts w:ascii="Arial" w:hAnsi="Arial" w:cs="Arial"/>
                <w:sz w:val="20"/>
                <w:szCs w:val="20"/>
                <w:shd w:val="clear" w:color="auto" w:fill="FFFFFF"/>
              </w:rPr>
              <w:t xml:space="preserve"> </w:t>
            </w:r>
          </w:p>
        </w:tc>
      </w:tr>
      <w:tr w:rsidR="006946FD" w:rsidRPr="00654988" w14:paraId="5007D88B" w14:textId="77777777" w:rsidTr="00244380">
        <w:tc>
          <w:tcPr>
            <w:tcW w:w="2972" w:type="dxa"/>
          </w:tcPr>
          <w:p w14:paraId="73345B84"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K1218</w:t>
            </w:r>
          </w:p>
        </w:tc>
        <w:tc>
          <w:tcPr>
            <w:tcW w:w="6662" w:type="dxa"/>
            <w:gridSpan w:val="2"/>
          </w:tcPr>
          <w:p w14:paraId="3AA7BCEE" w14:textId="77777777" w:rsidR="006946FD" w:rsidRPr="00654988" w:rsidRDefault="006946FD" w:rsidP="00196AF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751EB69" w14:textId="77777777" w:rsidTr="00244380">
        <w:trPr>
          <w:trHeight w:val="77"/>
        </w:trPr>
        <w:tc>
          <w:tcPr>
            <w:tcW w:w="2972" w:type="dxa"/>
          </w:tcPr>
          <w:p w14:paraId="580B1D6B" w14:textId="77777777" w:rsidR="006946FD" w:rsidRPr="00654988" w:rsidRDefault="006946FD" w:rsidP="005E70AF">
            <w:pPr>
              <w:rPr>
                <w:rFonts w:ascii="Arial" w:hAnsi="Arial" w:cs="Arial"/>
                <w:spacing w:val="10"/>
                <w:sz w:val="20"/>
                <w:szCs w:val="20"/>
              </w:rPr>
            </w:pPr>
            <w:r w:rsidRPr="00654988">
              <w:rPr>
                <w:rFonts w:ascii="Arial" w:hAnsi="Arial" w:cs="Arial"/>
                <w:b/>
                <w:shd w:val="clear" w:color="auto" w:fill="FFFFFF"/>
              </w:rPr>
              <w:t>ULK2</w:t>
            </w:r>
          </w:p>
        </w:tc>
        <w:tc>
          <w:tcPr>
            <w:tcW w:w="6662" w:type="dxa"/>
            <w:gridSpan w:val="2"/>
          </w:tcPr>
          <w:p w14:paraId="3D74724E" w14:textId="77777777" w:rsidR="006946FD" w:rsidRPr="00654988" w:rsidRDefault="006946FD" w:rsidP="005E70AF">
            <w:pPr>
              <w:rPr>
                <w:rFonts w:ascii="Arial" w:hAnsi="Arial" w:cs="Arial"/>
                <w:spacing w:val="10"/>
                <w:sz w:val="20"/>
                <w:szCs w:val="20"/>
              </w:rPr>
            </w:pPr>
          </w:p>
        </w:tc>
      </w:tr>
      <w:tr w:rsidR="006946FD" w:rsidRPr="00654988" w14:paraId="4CC080C1" w14:textId="77777777" w:rsidTr="00244380">
        <w:tc>
          <w:tcPr>
            <w:tcW w:w="2972" w:type="dxa"/>
          </w:tcPr>
          <w:p w14:paraId="5CC0E326"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S430</w:t>
            </w:r>
          </w:p>
        </w:tc>
        <w:tc>
          <w:tcPr>
            <w:tcW w:w="6662" w:type="dxa"/>
            <w:gridSpan w:val="2"/>
          </w:tcPr>
          <w:p w14:paraId="6ED717FF" w14:textId="77777777" w:rsidR="006946FD" w:rsidRPr="00654988" w:rsidRDefault="006946FD" w:rsidP="00196AF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E640876" w14:textId="77777777" w:rsidTr="00244380">
        <w:tc>
          <w:tcPr>
            <w:tcW w:w="2972" w:type="dxa"/>
          </w:tcPr>
          <w:p w14:paraId="10185457"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T531</w:t>
            </w:r>
          </w:p>
        </w:tc>
        <w:tc>
          <w:tcPr>
            <w:tcW w:w="6662" w:type="dxa"/>
            <w:gridSpan w:val="2"/>
          </w:tcPr>
          <w:p w14:paraId="10685A7C" w14:textId="77777777" w:rsidR="006946FD" w:rsidRPr="00654988" w:rsidRDefault="006946FD" w:rsidP="00196AF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3BE15EE" w14:textId="77777777" w:rsidTr="00244380">
        <w:tc>
          <w:tcPr>
            <w:tcW w:w="2972" w:type="dxa"/>
          </w:tcPr>
          <w:p w14:paraId="2EA5604C"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S600</w:t>
            </w:r>
          </w:p>
        </w:tc>
        <w:tc>
          <w:tcPr>
            <w:tcW w:w="6662" w:type="dxa"/>
            <w:gridSpan w:val="2"/>
          </w:tcPr>
          <w:p w14:paraId="196C1DC0" w14:textId="77777777" w:rsidR="006946FD" w:rsidRPr="00654988" w:rsidRDefault="006946FD" w:rsidP="00196AFC">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0345E7A9" w14:textId="77777777" w:rsidTr="00244380">
        <w:tc>
          <w:tcPr>
            <w:tcW w:w="9634" w:type="dxa"/>
            <w:gridSpan w:val="3"/>
          </w:tcPr>
          <w:p w14:paraId="0E5C3ABC"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ATGA1/ATG101</w:t>
            </w:r>
          </w:p>
        </w:tc>
      </w:tr>
      <w:tr w:rsidR="006946FD" w:rsidRPr="00654988" w14:paraId="5C617018" w14:textId="77777777" w:rsidTr="00244380">
        <w:tc>
          <w:tcPr>
            <w:tcW w:w="2972" w:type="dxa"/>
          </w:tcPr>
          <w:p w14:paraId="2BD4FC10"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No sites reported</w:t>
            </w:r>
          </w:p>
        </w:tc>
        <w:tc>
          <w:tcPr>
            <w:tcW w:w="6662" w:type="dxa"/>
            <w:gridSpan w:val="2"/>
          </w:tcPr>
          <w:p w14:paraId="24D6B819" w14:textId="77777777" w:rsidR="006946FD" w:rsidRPr="00654988" w:rsidRDefault="006946FD" w:rsidP="00196AFC">
            <w:pPr>
              <w:pStyle w:val="ListParagraph"/>
              <w:ind w:left="357"/>
              <w:rPr>
                <w:rFonts w:ascii="Arial" w:hAnsi="Arial" w:cs="Arial"/>
                <w:sz w:val="20"/>
                <w:szCs w:val="20"/>
                <w:shd w:val="clear" w:color="auto" w:fill="FFFFFF"/>
              </w:rPr>
            </w:pPr>
          </w:p>
        </w:tc>
      </w:tr>
      <w:tr w:rsidR="007E239D" w:rsidRPr="00654988" w14:paraId="6DC1E55F" w14:textId="77777777" w:rsidTr="00244380">
        <w:tc>
          <w:tcPr>
            <w:tcW w:w="9634" w:type="dxa"/>
            <w:gridSpan w:val="3"/>
          </w:tcPr>
          <w:p w14:paraId="211640D5"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RBCC1/FIP200</w:t>
            </w:r>
          </w:p>
        </w:tc>
      </w:tr>
      <w:tr w:rsidR="006946FD" w:rsidRPr="00654988" w14:paraId="0284CF65" w14:textId="77777777" w:rsidTr="00244380">
        <w:tc>
          <w:tcPr>
            <w:tcW w:w="2972" w:type="dxa"/>
          </w:tcPr>
          <w:p w14:paraId="42895DFB"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S222</w:t>
            </w:r>
          </w:p>
        </w:tc>
        <w:tc>
          <w:tcPr>
            <w:tcW w:w="6662" w:type="dxa"/>
            <w:gridSpan w:val="2"/>
          </w:tcPr>
          <w:p w14:paraId="2AE73263"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F48F772" w14:textId="77777777" w:rsidTr="00244380">
        <w:tc>
          <w:tcPr>
            <w:tcW w:w="2972" w:type="dxa"/>
          </w:tcPr>
          <w:p w14:paraId="3C14F77C"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S237</w:t>
            </w:r>
          </w:p>
        </w:tc>
        <w:tc>
          <w:tcPr>
            <w:tcW w:w="6662" w:type="dxa"/>
            <w:gridSpan w:val="2"/>
          </w:tcPr>
          <w:p w14:paraId="0B6726D2"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C09864B" w14:textId="77777777" w:rsidTr="00244380">
        <w:tc>
          <w:tcPr>
            <w:tcW w:w="2972" w:type="dxa"/>
          </w:tcPr>
          <w:p w14:paraId="7D4989E1"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T238</w:t>
            </w:r>
          </w:p>
        </w:tc>
        <w:tc>
          <w:tcPr>
            <w:tcW w:w="6662" w:type="dxa"/>
            <w:gridSpan w:val="2"/>
          </w:tcPr>
          <w:p w14:paraId="093B8928"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6CC0802" w14:textId="77777777" w:rsidTr="00244380">
        <w:tc>
          <w:tcPr>
            <w:tcW w:w="2972" w:type="dxa"/>
          </w:tcPr>
          <w:p w14:paraId="2471BF05"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S243</w:t>
            </w:r>
          </w:p>
        </w:tc>
        <w:tc>
          <w:tcPr>
            <w:tcW w:w="6662" w:type="dxa"/>
            <w:gridSpan w:val="2"/>
          </w:tcPr>
          <w:p w14:paraId="3AB9D924"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A0466F3" w14:textId="77777777" w:rsidTr="00244380">
        <w:tc>
          <w:tcPr>
            <w:tcW w:w="2972" w:type="dxa"/>
          </w:tcPr>
          <w:p w14:paraId="5C5BE49B"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T252</w:t>
            </w:r>
          </w:p>
        </w:tc>
        <w:tc>
          <w:tcPr>
            <w:tcW w:w="6662" w:type="dxa"/>
            <w:gridSpan w:val="2"/>
          </w:tcPr>
          <w:p w14:paraId="4C5DEAC5"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512391A3" w14:textId="77777777" w:rsidTr="00244380">
        <w:tc>
          <w:tcPr>
            <w:tcW w:w="2972" w:type="dxa"/>
          </w:tcPr>
          <w:p w14:paraId="25EE5AE3"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S253</w:t>
            </w:r>
          </w:p>
        </w:tc>
        <w:tc>
          <w:tcPr>
            <w:tcW w:w="6662" w:type="dxa"/>
            <w:gridSpan w:val="2"/>
          </w:tcPr>
          <w:p w14:paraId="44216B70"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46C96D6" w14:textId="77777777" w:rsidTr="00244380">
        <w:tc>
          <w:tcPr>
            <w:tcW w:w="2972" w:type="dxa"/>
          </w:tcPr>
          <w:p w14:paraId="5C96EDE9"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S257</w:t>
            </w:r>
          </w:p>
        </w:tc>
        <w:tc>
          <w:tcPr>
            <w:tcW w:w="6662" w:type="dxa"/>
            <w:gridSpan w:val="2"/>
          </w:tcPr>
          <w:p w14:paraId="2531D95D"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2F18BFA4" w14:textId="77777777" w:rsidTr="00244380">
        <w:tc>
          <w:tcPr>
            <w:tcW w:w="2972" w:type="dxa"/>
          </w:tcPr>
          <w:p w14:paraId="54E33F3F"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S261</w:t>
            </w:r>
          </w:p>
        </w:tc>
        <w:tc>
          <w:tcPr>
            <w:tcW w:w="6662" w:type="dxa"/>
            <w:gridSpan w:val="2"/>
          </w:tcPr>
          <w:p w14:paraId="2CFE33DF"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40275CF" w14:textId="77777777" w:rsidTr="00244380">
        <w:tc>
          <w:tcPr>
            <w:tcW w:w="2972" w:type="dxa"/>
          </w:tcPr>
          <w:p w14:paraId="637CB0F2"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T642</w:t>
            </w:r>
          </w:p>
        </w:tc>
        <w:tc>
          <w:tcPr>
            <w:tcW w:w="6662" w:type="dxa"/>
            <w:gridSpan w:val="2"/>
          </w:tcPr>
          <w:p w14:paraId="419D20DC" w14:textId="77777777" w:rsidR="006946FD" w:rsidRPr="00654988" w:rsidRDefault="006946FD" w:rsidP="00141A88">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2CEBB75C" w14:textId="77777777" w:rsidTr="00244380">
        <w:tc>
          <w:tcPr>
            <w:tcW w:w="2972" w:type="dxa"/>
          </w:tcPr>
          <w:p w14:paraId="2D6E5088"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S646</w:t>
            </w:r>
          </w:p>
        </w:tc>
        <w:tc>
          <w:tcPr>
            <w:tcW w:w="6662" w:type="dxa"/>
            <w:gridSpan w:val="2"/>
          </w:tcPr>
          <w:p w14:paraId="7C142C12"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1DBAF06A" w14:textId="77777777" w:rsidTr="00244380">
        <w:tc>
          <w:tcPr>
            <w:tcW w:w="2972" w:type="dxa"/>
          </w:tcPr>
          <w:p w14:paraId="69E611F8"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S649</w:t>
            </w:r>
          </w:p>
        </w:tc>
        <w:tc>
          <w:tcPr>
            <w:tcW w:w="6662" w:type="dxa"/>
            <w:gridSpan w:val="2"/>
          </w:tcPr>
          <w:p w14:paraId="3A4C5739"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18A65061" w14:textId="77777777" w:rsidTr="00244380">
        <w:tc>
          <w:tcPr>
            <w:tcW w:w="2972" w:type="dxa"/>
          </w:tcPr>
          <w:p w14:paraId="27A5C9A8"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S652</w:t>
            </w:r>
          </w:p>
        </w:tc>
        <w:tc>
          <w:tcPr>
            <w:tcW w:w="6662" w:type="dxa"/>
            <w:gridSpan w:val="2"/>
          </w:tcPr>
          <w:p w14:paraId="1E35FFE2"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8141DB8" w14:textId="77777777" w:rsidTr="00244380">
        <w:tc>
          <w:tcPr>
            <w:tcW w:w="2972" w:type="dxa"/>
          </w:tcPr>
          <w:p w14:paraId="3F665375" w14:textId="77777777" w:rsidR="006946FD" w:rsidRPr="00654988" w:rsidRDefault="006946FD" w:rsidP="00141A88">
            <w:pPr>
              <w:rPr>
                <w:rFonts w:ascii="Arial" w:hAnsi="Arial" w:cs="Arial"/>
                <w:sz w:val="20"/>
                <w:szCs w:val="20"/>
                <w:shd w:val="clear" w:color="auto" w:fill="FFFFFF"/>
              </w:rPr>
            </w:pPr>
            <w:r w:rsidRPr="00654988">
              <w:rPr>
                <w:rFonts w:ascii="Arial" w:hAnsi="Arial" w:cs="Arial"/>
                <w:sz w:val="20"/>
                <w:szCs w:val="20"/>
                <w:shd w:val="clear" w:color="auto" w:fill="FFFFFF"/>
              </w:rPr>
              <w:t>S666</w:t>
            </w:r>
          </w:p>
        </w:tc>
        <w:tc>
          <w:tcPr>
            <w:tcW w:w="6662" w:type="dxa"/>
            <w:gridSpan w:val="2"/>
          </w:tcPr>
          <w:p w14:paraId="539C8E83" w14:textId="77777777" w:rsidR="006946FD" w:rsidRPr="00654988" w:rsidRDefault="006946FD" w:rsidP="00141A88">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7AA2484E" w14:textId="77777777" w:rsidTr="00244380">
        <w:tc>
          <w:tcPr>
            <w:tcW w:w="9634" w:type="dxa"/>
            <w:gridSpan w:val="3"/>
          </w:tcPr>
          <w:p w14:paraId="76C4E56C"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BECN1</w:t>
            </w:r>
          </w:p>
        </w:tc>
      </w:tr>
      <w:tr w:rsidR="006946FD" w:rsidRPr="00654988" w14:paraId="1B4D0643" w14:textId="77777777" w:rsidTr="00244380">
        <w:tc>
          <w:tcPr>
            <w:tcW w:w="2972" w:type="dxa"/>
          </w:tcPr>
          <w:p w14:paraId="3EBCE414"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No sites reported</w:t>
            </w:r>
          </w:p>
        </w:tc>
        <w:tc>
          <w:tcPr>
            <w:tcW w:w="6662" w:type="dxa"/>
            <w:gridSpan w:val="2"/>
          </w:tcPr>
          <w:p w14:paraId="6F86A3F6" w14:textId="77777777" w:rsidR="006946FD" w:rsidRPr="00654988" w:rsidRDefault="006946FD" w:rsidP="00196AFC">
            <w:pPr>
              <w:pStyle w:val="ListParagraph"/>
              <w:ind w:left="357"/>
              <w:rPr>
                <w:rFonts w:ascii="Arial" w:hAnsi="Arial" w:cs="Arial"/>
                <w:sz w:val="20"/>
                <w:szCs w:val="20"/>
                <w:shd w:val="clear" w:color="auto" w:fill="FFFFFF"/>
              </w:rPr>
            </w:pPr>
          </w:p>
        </w:tc>
      </w:tr>
      <w:tr w:rsidR="007E239D" w:rsidRPr="00654988" w14:paraId="19EE7C65" w14:textId="77777777" w:rsidTr="00244380">
        <w:tc>
          <w:tcPr>
            <w:tcW w:w="9634" w:type="dxa"/>
            <w:gridSpan w:val="3"/>
          </w:tcPr>
          <w:p w14:paraId="74F5EF69"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BAKOR/ATG14</w:t>
            </w:r>
          </w:p>
        </w:tc>
      </w:tr>
      <w:tr w:rsidR="006946FD" w:rsidRPr="00654988" w14:paraId="245020F9" w14:textId="77777777" w:rsidTr="00244380">
        <w:tc>
          <w:tcPr>
            <w:tcW w:w="2972" w:type="dxa"/>
          </w:tcPr>
          <w:p w14:paraId="6D26DBDF"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No sites reported</w:t>
            </w:r>
          </w:p>
        </w:tc>
        <w:tc>
          <w:tcPr>
            <w:tcW w:w="6662" w:type="dxa"/>
            <w:gridSpan w:val="2"/>
          </w:tcPr>
          <w:p w14:paraId="06CDE829" w14:textId="77777777" w:rsidR="006946FD" w:rsidRPr="00654988" w:rsidRDefault="006946FD" w:rsidP="00196AFC">
            <w:pPr>
              <w:pStyle w:val="ListParagraph"/>
              <w:ind w:left="357"/>
              <w:rPr>
                <w:rFonts w:ascii="Arial" w:hAnsi="Arial" w:cs="Arial"/>
                <w:sz w:val="20"/>
                <w:szCs w:val="20"/>
                <w:shd w:val="clear" w:color="auto" w:fill="FFFFFF"/>
              </w:rPr>
            </w:pPr>
          </w:p>
        </w:tc>
      </w:tr>
      <w:tr w:rsidR="007E239D" w:rsidRPr="00654988" w14:paraId="74B86996" w14:textId="77777777" w:rsidTr="00244380">
        <w:tc>
          <w:tcPr>
            <w:tcW w:w="9634" w:type="dxa"/>
            <w:gridSpan w:val="3"/>
          </w:tcPr>
          <w:p w14:paraId="310DAD26"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PK3C3/VPS34</w:t>
            </w:r>
          </w:p>
        </w:tc>
      </w:tr>
      <w:tr w:rsidR="006946FD" w:rsidRPr="00654988" w14:paraId="2FF462C3" w14:textId="77777777" w:rsidTr="00244380">
        <w:tc>
          <w:tcPr>
            <w:tcW w:w="2972" w:type="dxa"/>
          </w:tcPr>
          <w:p w14:paraId="61B79713"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S164</w:t>
            </w:r>
          </w:p>
        </w:tc>
        <w:tc>
          <w:tcPr>
            <w:tcW w:w="6662" w:type="dxa"/>
            <w:gridSpan w:val="2"/>
          </w:tcPr>
          <w:p w14:paraId="5B2BB035" w14:textId="4DF580E0" w:rsidR="006946FD" w:rsidRPr="00654988" w:rsidRDefault="00A3633C" w:rsidP="00196AFC">
            <w:pPr>
              <w:pStyle w:val="NormalWeb"/>
              <w:numPr>
                <w:ilvl w:val="0"/>
                <w:numId w:val="9"/>
              </w:numPr>
              <w:ind w:left="357" w:hanging="357"/>
              <w:rPr>
                <w:rFonts w:ascii="Arial" w:hAnsi="Arial" w:cs="Arial"/>
                <w:sz w:val="20"/>
                <w:szCs w:val="20"/>
                <w:shd w:val="clear" w:color="auto" w:fill="FFFFFF"/>
              </w:rPr>
            </w:pPr>
            <w:r w:rsidRPr="00654988">
              <w:rPr>
                <w:rFonts w:ascii="Arial" w:hAnsi="Arial" w:cs="Arial"/>
                <w:sz w:val="20"/>
                <w:szCs w:val="20"/>
              </w:rPr>
              <w:t>P</w:t>
            </w:r>
            <w:r w:rsidR="006946FD" w:rsidRPr="00654988">
              <w:rPr>
                <w:rFonts w:ascii="Arial" w:hAnsi="Arial" w:cs="Arial"/>
                <w:sz w:val="20"/>
                <w:szCs w:val="20"/>
              </w:rPr>
              <w:t xml:space="preserve">hosphorylation </w:t>
            </w:r>
            <w:r w:rsidR="008D2871">
              <w:rPr>
                <w:rFonts w:ascii="Arial" w:hAnsi="Arial" w:cs="Arial"/>
                <w:sz w:val="20"/>
                <w:szCs w:val="20"/>
              </w:rPr>
              <w:t>at</w:t>
            </w:r>
            <w:r w:rsidRPr="00654988">
              <w:rPr>
                <w:rFonts w:ascii="Arial" w:hAnsi="Arial" w:cs="Arial"/>
                <w:sz w:val="20"/>
                <w:szCs w:val="20"/>
              </w:rPr>
              <w:t xml:space="preserve"> S164 occurs </w:t>
            </w:r>
            <w:r w:rsidR="006946FD" w:rsidRPr="00654988">
              <w:rPr>
                <w:rFonts w:ascii="Arial" w:hAnsi="Arial" w:cs="Arial"/>
                <w:sz w:val="20"/>
                <w:szCs w:val="20"/>
              </w:rPr>
              <w:t>in myoblasts treated with EtOH</w:t>
            </w:r>
            <w:r w:rsidRPr="00654988">
              <w:rPr>
                <w:rFonts w:ascii="Arial" w:hAnsi="Arial" w:cs="Arial"/>
                <w:sz w:val="20"/>
                <w:szCs w:val="20"/>
              </w:rPr>
              <w:t xml:space="preserve"> and </w:t>
            </w:r>
            <w:r w:rsidR="006946FD" w:rsidRPr="00654988">
              <w:rPr>
                <w:rFonts w:ascii="Arial" w:hAnsi="Arial" w:cs="Arial"/>
                <w:sz w:val="20"/>
                <w:szCs w:val="20"/>
              </w:rPr>
              <w:t>correlate</w:t>
            </w:r>
            <w:r w:rsidRPr="00654988">
              <w:rPr>
                <w:rFonts w:ascii="Arial" w:hAnsi="Arial" w:cs="Arial"/>
                <w:sz w:val="20"/>
                <w:szCs w:val="20"/>
              </w:rPr>
              <w:t>s</w:t>
            </w:r>
            <w:r w:rsidR="006946FD" w:rsidRPr="00654988">
              <w:rPr>
                <w:rFonts w:ascii="Arial" w:hAnsi="Arial" w:cs="Arial"/>
                <w:sz w:val="20"/>
                <w:szCs w:val="20"/>
              </w:rPr>
              <w:t xml:space="preserve"> with increased autophagy flux</w:t>
            </w:r>
            <w:r w:rsidR="00A073A9">
              <w:rPr>
                <w:rFonts w:ascii="Arial" w:hAnsi="Arial" w:cs="Arial"/>
                <w:sz w:val="20"/>
                <w:szCs w:val="20"/>
              </w:rPr>
              <w:fldChar w:fldCharType="begin"/>
            </w:r>
            <w:r w:rsidR="008255B7">
              <w:rPr>
                <w:rFonts w:ascii="Arial" w:hAnsi="Arial" w:cs="Arial"/>
                <w:sz w:val="20"/>
                <w:szCs w:val="20"/>
              </w:rPr>
              <w:instrText xml:space="preserve"> ADDIN ZOTERO_ITEM CSL_CITATION {"citationID":"qGXWx0SK","properties":{"formattedCitation":"(Hong-Brown et al., 2017)","plainCitation":"(Hong-Brown et al., 2017)","noteIndex":0},"citationItems":[{"id":2696,"uris":["http://zotero.org/groups/2342045/items/8T58Y73F"],"uri":["http://zotero.org/groups/2342045/items/8T58Y73F"],"itemData":{"id":2696,"type":"article-journal","abstract":"Background\nExcessive alcohol (EtOH) consumption causes imbalances in protein metabolism. EtOH impairs protein synthesis in C2C12 myoblasts via a FoxO1-AMPK-TSC2-mTORC1 pathway and also induces degradation. As the underlying regulatory signaling cascades for these processes are currently poorly defined, we tested the hypothesis that alcohol-induced autophagy is mediated via activation of the PIK3C3 complex that is regulated by FoxO1-AMPK.\n\nMethods\nC2C12 myoblasts were incubated with EtOH for various periods of time and autophagy pathway-related proteins were assessed by Western blotting and immunoprecipitation. Expression of targeted genes was suppressed using electroporation of specific siRNAs and chemical inhibitors.\n\nResults\nIncubation of C2C12 myoblasts with 100 mM EtOH increased the autophagy markers LC3B-II and ATG7, whereas levels of SQSTM1/p62 decreased. The lysosomal inhibitor bafilomycinA1 caused a similar response, although there was no additive effect when combined with ETOH. EtOH altered ULK1 S555 and S757 phosphorylation in a time- and AMPK-dependent manner. The activation of AMPK and ULK1 was associated with increased BECN1 (S93, S14) and PIK3C3/VPS34 (S164) phosphorylation as well as increased total ATG14 and PIK3C3. These changes promoted formation of the ATG14-AMBRA1-BECN1-PIK3C3 pro-autophagy complex that is important in autophagosome formation. EtOH-induced changes were not associated with increased production of PtdIns3P, which may be due to enhanced PIK3C3 complex binding with 14-3-3ϴ. Reduction of AMPK using siRNA suppressed the stimulatory effect of EtOH on BECN1 S93, S14 and PIK3C3 S164 phosphorylation in a time-dependent manner. Likewise, knockdown of AMPK or chemical inhibition of FoxO1 attenuated phosphorylation of ULK1 at both residues. Knockdown of ULK1 or BECN1 antagonized the effect of EtOH on LC3B-II, SQSTM1and ATG7 protein expression.\n\nConclusions\nEtOH-induced autophagy is mediated through changes in phosphorylation and interaction of various PIK3C3 complex components. This, in turn, is regulated either directly via FoxO1-AMPK, or indirectly via the FoxO1-AMPK-ULK1 signaling cascade in a mTORC1-independent or-dependent manner.","container-title":"Alcoholism, clinical and experimental research","DOI":"10.1111/acer.13377","ISSN":"0145-6008","issue":"5","journalAbbreviation":"Alcohol Clin Exp Res","note":"PMID: 28299793\nPMCID: PMC5404978","page":"895-910","source":"PubMed Central","title":"FOXO1-AMPK-ULK1 Regulates Ethanol-induced Autophagy in Muscle by Enhanced ATG14 Association with the BECN1-PIK3C3 Complex","volume":"41","author":[{"family":"Hong-Brown","given":"Ly Q."},{"family":"Brown","given":"C. Randell"},{"family":"Navaratnarajah","given":"Maithili"},{"family":"Lang","given":"Charles H."}],"issued":{"date-parts":[["2017",5]]}}}],"schema":"https://github.com/citation-style-language/schema/raw/master/csl-citation.json"} </w:instrText>
            </w:r>
            <w:r w:rsidR="00A073A9">
              <w:rPr>
                <w:rFonts w:ascii="Arial" w:hAnsi="Arial" w:cs="Arial"/>
                <w:sz w:val="20"/>
                <w:szCs w:val="20"/>
              </w:rPr>
              <w:fldChar w:fldCharType="separate"/>
            </w:r>
            <w:r w:rsidR="008255B7" w:rsidRPr="008255B7">
              <w:rPr>
                <w:rFonts w:ascii="Arial" w:hAnsi="Arial" w:cs="Arial"/>
                <w:sz w:val="20"/>
              </w:rPr>
              <w:t>(Hong-Brown et al., 2017)</w:t>
            </w:r>
            <w:r w:rsidR="00A073A9">
              <w:rPr>
                <w:rFonts w:ascii="Arial" w:hAnsi="Arial" w:cs="Arial"/>
                <w:sz w:val="20"/>
                <w:szCs w:val="20"/>
              </w:rPr>
              <w:fldChar w:fldCharType="end"/>
            </w:r>
            <w:r w:rsidR="006946FD" w:rsidRPr="00654988">
              <w:rPr>
                <w:rFonts w:ascii="Arial" w:hAnsi="Arial" w:cs="Arial"/>
                <w:sz w:val="20"/>
                <w:szCs w:val="20"/>
              </w:rPr>
              <w:t xml:space="preserve"> </w:t>
            </w:r>
          </w:p>
          <w:p w14:paraId="3613C835" w14:textId="0CBA7B37" w:rsidR="006946FD" w:rsidRPr="00654988" w:rsidRDefault="00A073A9" w:rsidP="00A073A9">
            <w:pPr>
              <w:pStyle w:val="NormalWeb"/>
              <w:numPr>
                <w:ilvl w:val="0"/>
                <w:numId w:val="9"/>
              </w:numPr>
              <w:spacing w:before="0" w:beforeAutospacing="0" w:after="0" w:afterAutospacing="0"/>
              <w:ind w:left="357" w:hanging="357"/>
              <w:rPr>
                <w:rFonts w:ascii="Arial" w:hAnsi="Arial" w:cs="Arial"/>
                <w:sz w:val="20"/>
                <w:szCs w:val="20"/>
                <w:shd w:val="clear" w:color="auto" w:fill="FFFFFF"/>
              </w:rPr>
            </w:pPr>
            <w:r>
              <w:rPr>
                <w:rFonts w:ascii="Arial" w:hAnsi="Arial" w:cs="Arial"/>
                <w:sz w:val="20"/>
                <w:szCs w:val="20"/>
                <w:shd w:val="clear" w:color="auto" w:fill="FFFFFF"/>
              </w:rPr>
              <w:lastRenderedPageBreak/>
              <w:t xml:space="preserve">Wen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{"citationID":"rDpP5eBP","properties":{"formattedCitation":"(Wen et al., 2015)","plainCitation":"(Wen et al., 2015)","noteIndex":0},"citationItems":[{"id":2747,"uris":["http://zotero.org/groups/2342045/items/V9NGZWVX"],"uri":["http://zotero.org/groups/2342045/items/V9NGZWVX"],"itemData":{"id":2747,"type":"article-journal","abstract":"PURPOSE: Cancer cells are highly dependent on folate metabolism, making them susceptible to drugs that inhibit folate receptor activities. Targeting overexpressed folate receptor alpha (FRα) in cancer cells offers a therapeutic opportunity. We investigated the functional mechanisms of MORAB-003 (farletuzumab), a humanized mAb against FRα, in ovarian cancer models.\nEXPERIMENTAL DESIGN: We first examined FRα expression in an array of human ovarian cancer cell lines and then assessed the in vivo effect of MORAB-003 on tumor growth and progression in several orthotopic mouse models of ovarian cancer derived from these cell lines. Molecular mechanisms of tumor cell death induced by MORAB-003 were investigated by cDNA and protein expression profiling analysis. Mechanistic studies were performed to determine the role of autophagy in MORAB-003-induced cell death.\nRESULTS: MORAB-003 significantly decreased tumor growth in the high-FRα IGROV1 and SKOV3ip1 models but not in the low-FRα A2780 model. MORAB-003 reduced proliferation, but had no significant effect on apoptosis. Protein expression and cDNA microarray analyses showed that MORAB-003 regulated an array of autophagy-related genes. It also significantly increased expression of LC3 isoform II and enriched autophagic vacuolization. Blocking autophagy with hydroxychloroquine or bafilomycin A1 reversed the growth inhibition induced by MORAB-003. In addition, alteration of FOLR1 gene copy number significantly correlated with shorter disease-free survival in patients with ovarian serous cancer.\nCONCLUSIONS: MORAB-003 displays prominent antitumor activity in ovarian cancer models expressing FRα at high levels. Blockade of folate receptor by MORAB-003 induced sustained autophagy and suppressed cell proliferation.","container-title":"Clinical Cancer Research: An Official Journal of the American Association for Cancer Research","DOI":"10.1158/1078-0432.CCR-14-1578","ISSN":"1078-0432","issue":"2","journalAbbreviation":"Clin. Cancer Res.","language":"eng","note":"PMID: 25416196\nPMCID: PMC4297546","page":"448-459","source":"PubMed","title":"Immunotherapy targeting folate receptor induces cell death associated with autophagy in ovarian cancer","volume":"21","author":[{"family":"Wen","given":"Yunfei"},{"family":"Graybill","given":"Whitney S."},{"family":"Previs","given":"Rebecca A."},{"family":"Hu","given":"Wei"},{"family":"Ivan","given":"Cristina"},{"family":"Mangala","given":"Lingegowda S."},{"family":"Zand","given":"Behrouz"},{"family":"Nick","given":"Alpa M."},{"family":"Jennings","given":"Nicholas B."},{"family":"Dalton","given":"Heather J."},{"family":"Sehgal","given":"Vasudha"},{"family":"Ram","given":"Prahlad"},{"family":"Lee","given":"Ju-Seog"},{"family":"Vivas-Mejia","given":"Pablo E."},{"family":"Coleman","given":"Robert L."},{"family":"Sood","given":"Anil K."}],"issued":{"date-parts":[["2015",1,15]]}}}],"schema":"https://github.com/citation-style-language/schema/raw/master/csl-citation.json"}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(Wen et al., 2015)</w:t>
            </w:r>
            <w:r>
              <w:rPr>
                <w:rFonts w:ascii="Arial" w:hAnsi="Arial" w:cs="Arial"/>
                <w:sz w:val="20"/>
                <w:szCs w:val="20"/>
                <w:shd w:val="clear" w:color="auto" w:fill="FFFFFF"/>
              </w:rPr>
              <w:fldChar w:fldCharType="end"/>
            </w:r>
            <w:r w:rsidR="006946FD" w:rsidRPr="00654988">
              <w:rPr>
                <w:rFonts w:ascii="Arial" w:hAnsi="Arial" w:cs="Arial"/>
                <w:sz w:val="20"/>
                <w:szCs w:val="20"/>
                <w:shd w:val="clear" w:color="auto" w:fill="FFFFFF"/>
              </w:rPr>
              <w:t xml:space="preserve"> reported </w:t>
            </w:r>
            <w:r w:rsidR="00A3633C" w:rsidRPr="00654988">
              <w:rPr>
                <w:rFonts w:ascii="Arial" w:hAnsi="Arial" w:cs="Arial"/>
                <w:sz w:val="20"/>
                <w:szCs w:val="20"/>
                <w:shd w:val="clear" w:color="auto" w:fill="FFFFFF"/>
              </w:rPr>
              <w:t>a</w:t>
            </w:r>
            <w:r w:rsidR="006946FD" w:rsidRPr="00654988">
              <w:rPr>
                <w:rFonts w:ascii="Arial" w:hAnsi="Arial" w:cs="Arial"/>
                <w:sz w:val="20"/>
                <w:szCs w:val="20"/>
                <w:shd w:val="clear" w:color="auto" w:fill="FFFFFF"/>
              </w:rPr>
              <w:t>n increase of S164 phosphorylation upon treatment of ovarian cancer spheroids with a monoclonal antibody against folate receptor alpha</w:t>
            </w:r>
          </w:p>
        </w:tc>
      </w:tr>
      <w:tr w:rsidR="006946FD" w:rsidRPr="00654988" w14:paraId="6DA9EEDD" w14:textId="77777777" w:rsidTr="00244380">
        <w:tc>
          <w:tcPr>
            <w:tcW w:w="2972" w:type="dxa"/>
          </w:tcPr>
          <w:p w14:paraId="4D7D8D95"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lastRenderedPageBreak/>
              <w:t>S165</w:t>
            </w:r>
          </w:p>
        </w:tc>
        <w:tc>
          <w:tcPr>
            <w:tcW w:w="6662" w:type="dxa"/>
            <w:gridSpan w:val="2"/>
          </w:tcPr>
          <w:p w14:paraId="64AD768D" w14:textId="4B284C31" w:rsidR="006946FD" w:rsidRPr="00654988" w:rsidRDefault="00A073A9" w:rsidP="00A073A9">
            <w:pPr>
              <w:pStyle w:val="ListParagraph"/>
              <w:numPr>
                <w:ilvl w:val="0"/>
                <w:numId w:val="9"/>
              </w:numPr>
              <w:ind w:left="357" w:hanging="357"/>
              <w:rPr>
                <w:rFonts w:ascii="Arial" w:hAnsi="Arial" w:cs="Arial"/>
                <w:sz w:val="20"/>
                <w:szCs w:val="20"/>
                <w:shd w:val="clear" w:color="auto" w:fill="FFFFFF"/>
              </w:rPr>
            </w:pPr>
            <w:r>
              <w:rPr>
                <w:rFonts w:ascii="Arial" w:hAnsi="Arial" w:cs="Arial"/>
                <w:sz w:val="20"/>
                <w:szCs w:val="20"/>
                <w:shd w:val="clear" w:color="auto" w:fill="FFFFFF"/>
              </w:rPr>
              <w:t xml:space="preserve">Kim </w:t>
            </w:r>
            <w:r w:rsidR="00932756">
              <w:rPr>
                <w:rFonts w:ascii="Arial" w:hAnsi="Arial" w:cs="Arial"/>
                <w:sz w:val="20"/>
                <w:szCs w:val="20"/>
                <w:shd w:val="clear" w:color="auto" w:fill="FFFFFF"/>
              </w:rPr>
              <w:t>et al.</w:t>
            </w:r>
            <w:r>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{"citationID":"TOHtJxlu","properties":{"formattedCitation":"(Kim et al., 2013)","plainCitation":"(Kim et al., 2013)","noteIndex":0},"citationItems":[{"id":2701,"uris":["http://zotero.org/groups/2342045/items/6QBX8E5G"],"uri":["http://zotero.org/groups/2342045/items/6QBX8E5G"],"itemData":{"id":2701,"type":"article-journal","container-title":"Cell","DOI":"10.1016/j.cell.2012.12.016","ISSN":"0092-8674, 1097-4172","issue":"1","journalAbbreviation":"Cell","language":"English","note":"publisher: Elsevier\nPMID: 23332761","page":"290-303","source":"www.cell.com","title":"Differential Regulation of Distinct Vps34 Complexes by AMPK in Nutrient Stress and Autophagy","volume":"152","author":[{"family":"Kim","given":"Joungmok"},{"family":"Kim","given":"Young Chul"},{"family":"Fang","given":"Chong"},{"family":"Russell","given":"Ryan C."},{"family":"Kim","given":"Jeong Hee"},{"family":"Fan","given":"Weiliang"},{"family":"Liu","given":"Rong"},{"family":"Zhong","given":"Qing"},{"family":"Guan","given":"Kun-Liang"}],"issued":{"date-parts":[["2013",1,17]]}}}],"schema":"https://github.com/citation-style-language/schema/raw/master/csl-citation.json"} </w:instrText>
            </w:r>
            <w:r>
              <w:rPr>
                <w:rFonts w:ascii="Arial" w:hAnsi="Arial" w:cs="Arial"/>
                <w:sz w:val="20"/>
                <w:szCs w:val="20"/>
                <w:shd w:val="clear" w:color="auto" w:fill="FFFFFF"/>
              </w:rPr>
              <w:fldChar w:fldCharType="separate"/>
            </w:r>
            <w:r w:rsidR="008255B7" w:rsidRPr="008255B7">
              <w:rPr>
                <w:rFonts w:ascii="Arial" w:hAnsi="Arial" w:cs="Arial"/>
                <w:sz w:val="20"/>
              </w:rPr>
              <w:t>(Kim et al., 2013)</w:t>
            </w:r>
            <w:r>
              <w:rPr>
                <w:rFonts w:ascii="Arial" w:hAnsi="Arial" w:cs="Arial"/>
                <w:sz w:val="20"/>
                <w:szCs w:val="20"/>
                <w:shd w:val="clear" w:color="auto" w:fill="FFFFFF"/>
              </w:rPr>
              <w:fldChar w:fldCharType="end"/>
            </w:r>
            <w:r w:rsidR="006946FD" w:rsidRPr="00654988">
              <w:rPr>
                <w:rFonts w:ascii="Arial" w:hAnsi="Arial" w:cs="Arial"/>
                <w:sz w:val="20"/>
                <w:szCs w:val="20"/>
                <w:shd w:val="clear" w:color="auto" w:fill="FFFFFF"/>
              </w:rPr>
              <w:t xml:space="preserve"> </w:t>
            </w:r>
            <w:r w:rsidR="004D28AF" w:rsidRPr="00654988">
              <w:rPr>
                <w:rFonts w:ascii="Arial" w:hAnsi="Arial" w:cs="Arial"/>
                <w:sz w:val="20"/>
                <w:szCs w:val="20"/>
                <w:shd w:val="clear" w:color="auto" w:fill="FFFFFF"/>
              </w:rPr>
              <w:t xml:space="preserve">identified phosphorylation </w:t>
            </w:r>
            <w:r w:rsidR="008D2871">
              <w:rPr>
                <w:rFonts w:ascii="Arial" w:hAnsi="Arial" w:cs="Arial"/>
                <w:sz w:val="20"/>
                <w:szCs w:val="20"/>
                <w:shd w:val="clear" w:color="auto" w:fill="FFFFFF"/>
              </w:rPr>
              <w:t>at</w:t>
            </w:r>
            <w:r w:rsidR="004D28AF" w:rsidRPr="00654988">
              <w:rPr>
                <w:rFonts w:ascii="Arial" w:hAnsi="Arial" w:cs="Arial"/>
                <w:sz w:val="20"/>
                <w:szCs w:val="20"/>
                <w:shd w:val="clear" w:color="auto" w:fill="FFFFFF"/>
              </w:rPr>
              <w:t xml:space="preserve"> this residue by</w:t>
            </w:r>
            <w:r w:rsidR="006946FD" w:rsidRPr="00654988">
              <w:rPr>
                <w:rFonts w:ascii="Arial" w:hAnsi="Arial" w:cs="Arial"/>
                <w:sz w:val="20"/>
                <w:szCs w:val="20"/>
                <w:shd w:val="clear" w:color="auto" w:fill="FFFFFF"/>
              </w:rPr>
              <w:t xml:space="preserve"> </w:t>
            </w:r>
            <w:r w:rsidR="004D28AF" w:rsidRPr="00654988">
              <w:rPr>
                <w:rFonts w:ascii="Arial" w:hAnsi="Arial" w:cs="Arial"/>
                <w:sz w:val="20"/>
                <w:szCs w:val="20"/>
                <w:shd w:val="clear" w:color="auto" w:fill="FFFFFF"/>
              </w:rPr>
              <w:t xml:space="preserve">AMP. </w:t>
            </w:r>
            <w:r w:rsidR="006946FD" w:rsidRPr="00654988">
              <w:rPr>
                <w:rFonts w:ascii="Arial" w:hAnsi="Arial" w:cs="Arial"/>
                <w:sz w:val="20"/>
                <w:szCs w:val="20"/>
                <w:shd w:val="clear" w:color="auto" w:fill="FFFFFF"/>
              </w:rPr>
              <w:t>This leads to inhibition of the non-autophagy Vps34 complex and suppression of overall PI(3)P production</w:t>
            </w:r>
            <w:r w:rsidR="004D28AF" w:rsidRPr="00654988">
              <w:rPr>
                <w:rFonts w:ascii="Arial" w:hAnsi="Arial" w:cs="Arial"/>
                <w:sz w:val="20"/>
                <w:szCs w:val="20"/>
                <w:shd w:val="clear" w:color="auto" w:fill="FFFFFF"/>
              </w:rPr>
              <w:t xml:space="preserve">, which </w:t>
            </w:r>
            <w:r w:rsidR="006946FD" w:rsidRPr="00654988">
              <w:rPr>
                <w:rFonts w:ascii="Arial" w:hAnsi="Arial" w:cs="Arial"/>
                <w:sz w:val="20"/>
                <w:szCs w:val="20"/>
                <w:shd w:val="clear" w:color="auto" w:fill="FFFFFF"/>
              </w:rPr>
              <w:t>correlates with induction of autophagy</w:t>
            </w:r>
          </w:p>
        </w:tc>
      </w:tr>
      <w:tr w:rsidR="007E239D" w:rsidRPr="00654988" w14:paraId="726B28B1" w14:textId="77777777" w:rsidTr="00244380">
        <w:tc>
          <w:tcPr>
            <w:tcW w:w="9634" w:type="dxa"/>
            <w:gridSpan w:val="3"/>
          </w:tcPr>
          <w:p w14:paraId="2B3D86DA"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PI3R4/VPS15</w:t>
            </w:r>
          </w:p>
        </w:tc>
      </w:tr>
      <w:tr w:rsidR="006946FD" w:rsidRPr="00654988" w14:paraId="076C06CC" w14:textId="77777777" w:rsidTr="00244380">
        <w:tc>
          <w:tcPr>
            <w:tcW w:w="2972" w:type="dxa"/>
          </w:tcPr>
          <w:p w14:paraId="140503CB"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S813</w:t>
            </w:r>
          </w:p>
        </w:tc>
        <w:tc>
          <w:tcPr>
            <w:tcW w:w="6662" w:type="dxa"/>
            <w:gridSpan w:val="2"/>
          </w:tcPr>
          <w:p w14:paraId="1F6F2F08"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83FBECF" w14:textId="77777777" w:rsidTr="00244380">
        <w:tc>
          <w:tcPr>
            <w:tcW w:w="2972" w:type="dxa"/>
          </w:tcPr>
          <w:p w14:paraId="564D7F1F"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S853</w:t>
            </w:r>
          </w:p>
        </w:tc>
        <w:tc>
          <w:tcPr>
            <w:tcW w:w="6662" w:type="dxa"/>
            <w:gridSpan w:val="2"/>
          </w:tcPr>
          <w:p w14:paraId="7612BF3F"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5B0C85B" w14:textId="77777777" w:rsidTr="00244380">
        <w:tc>
          <w:tcPr>
            <w:tcW w:w="2972" w:type="dxa"/>
          </w:tcPr>
          <w:p w14:paraId="5087ECD5"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S892</w:t>
            </w:r>
          </w:p>
        </w:tc>
        <w:tc>
          <w:tcPr>
            <w:tcW w:w="6662" w:type="dxa"/>
            <w:gridSpan w:val="2"/>
          </w:tcPr>
          <w:p w14:paraId="099574DC"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57B58588" w14:textId="77777777" w:rsidTr="00244380">
        <w:tc>
          <w:tcPr>
            <w:tcW w:w="2972" w:type="dxa"/>
          </w:tcPr>
          <w:p w14:paraId="2A0319E3"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S894</w:t>
            </w:r>
          </w:p>
        </w:tc>
        <w:tc>
          <w:tcPr>
            <w:tcW w:w="6662" w:type="dxa"/>
            <w:gridSpan w:val="2"/>
          </w:tcPr>
          <w:p w14:paraId="5404D03D"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78F99AAF" w14:textId="77777777" w:rsidTr="00244380">
        <w:tc>
          <w:tcPr>
            <w:tcW w:w="2972" w:type="dxa"/>
          </w:tcPr>
          <w:p w14:paraId="69D09649"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S895</w:t>
            </w:r>
          </w:p>
        </w:tc>
        <w:tc>
          <w:tcPr>
            <w:tcW w:w="6662" w:type="dxa"/>
            <w:gridSpan w:val="2"/>
          </w:tcPr>
          <w:p w14:paraId="02224D3C"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53A6CF6" w14:textId="77777777" w:rsidTr="00244380">
        <w:tc>
          <w:tcPr>
            <w:tcW w:w="2972" w:type="dxa"/>
          </w:tcPr>
          <w:p w14:paraId="1AB02C02"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S903</w:t>
            </w:r>
          </w:p>
        </w:tc>
        <w:tc>
          <w:tcPr>
            <w:tcW w:w="6662" w:type="dxa"/>
            <w:gridSpan w:val="2"/>
          </w:tcPr>
          <w:p w14:paraId="7394F9A7" w14:textId="77777777" w:rsidR="006946FD" w:rsidRPr="00654988" w:rsidRDefault="006946FD" w:rsidP="0081603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0D92869C" w14:textId="77777777" w:rsidTr="00244380">
        <w:tc>
          <w:tcPr>
            <w:tcW w:w="2972" w:type="dxa"/>
          </w:tcPr>
          <w:p w14:paraId="1D72E56C"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T904</w:t>
            </w:r>
          </w:p>
        </w:tc>
        <w:tc>
          <w:tcPr>
            <w:tcW w:w="6662" w:type="dxa"/>
            <w:gridSpan w:val="2"/>
          </w:tcPr>
          <w:p w14:paraId="5BD821B8" w14:textId="77777777" w:rsidR="006946FD" w:rsidRPr="00654988" w:rsidRDefault="006946FD" w:rsidP="0081603E">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44E7F249" w14:textId="77777777" w:rsidTr="00244380">
        <w:tc>
          <w:tcPr>
            <w:tcW w:w="2972" w:type="dxa"/>
          </w:tcPr>
          <w:p w14:paraId="4942BE53"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S905</w:t>
            </w:r>
          </w:p>
        </w:tc>
        <w:tc>
          <w:tcPr>
            <w:tcW w:w="6662" w:type="dxa"/>
            <w:gridSpan w:val="2"/>
          </w:tcPr>
          <w:p w14:paraId="208C6413"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63245F4" w14:textId="77777777" w:rsidTr="00244380">
        <w:tc>
          <w:tcPr>
            <w:tcW w:w="2972" w:type="dxa"/>
          </w:tcPr>
          <w:p w14:paraId="1146BC01" w14:textId="77777777" w:rsidR="006946FD" w:rsidRPr="00654988" w:rsidRDefault="006946FD" w:rsidP="0081603E">
            <w:pPr>
              <w:rPr>
                <w:rFonts w:ascii="Arial" w:hAnsi="Arial" w:cs="Arial"/>
                <w:sz w:val="20"/>
                <w:szCs w:val="20"/>
                <w:shd w:val="clear" w:color="auto" w:fill="FFFFFF"/>
              </w:rPr>
            </w:pPr>
            <w:r w:rsidRPr="00654988">
              <w:rPr>
                <w:rFonts w:ascii="Arial" w:hAnsi="Arial" w:cs="Arial"/>
                <w:sz w:val="20"/>
                <w:szCs w:val="20"/>
                <w:shd w:val="clear" w:color="auto" w:fill="FFFFFF"/>
              </w:rPr>
              <w:t>K1309</w:t>
            </w:r>
          </w:p>
        </w:tc>
        <w:tc>
          <w:tcPr>
            <w:tcW w:w="6662" w:type="dxa"/>
            <w:gridSpan w:val="2"/>
          </w:tcPr>
          <w:p w14:paraId="61A731E7" w14:textId="77777777" w:rsidR="006946FD" w:rsidRPr="00654988" w:rsidRDefault="006946FD" w:rsidP="0081603E">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2B346172" w14:textId="77777777" w:rsidTr="00244380">
        <w:tc>
          <w:tcPr>
            <w:tcW w:w="9634" w:type="dxa"/>
            <w:gridSpan w:val="3"/>
          </w:tcPr>
          <w:p w14:paraId="31B29615"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WIPI2</w:t>
            </w:r>
          </w:p>
        </w:tc>
      </w:tr>
      <w:tr w:rsidR="006946FD" w:rsidRPr="00654988" w14:paraId="68A4431B" w14:textId="77777777" w:rsidTr="00244380">
        <w:tc>
          <w:tcPr>
            <w:tcW w:w="2972" w:type="dxa"/>
          </w:tcPr>
          <w:p w14:paraId="138B26A3" w14:textId="77777777" w:rsidR="006946FD" w:rsidRPr="00654988" w:rsidRDefault="006946FD" w:rsidP="00AF6F1B">
            <w:pPr>
              <w:rPr>
                <w:rFonts w:ascii="Arial" w:hAnsi="Arial" w:cs="Arial"/>
                <w:sz w:val="20"/>
                <w:szCs w:val="20"/>
                <w:shd w:val="clear" w:color="auto" w:fill="FFFFFF"/>
              </w:rPr>
            </w:pPr>
            <w:r w:rsidRPr="00654988">
              <w:rPr>
                <w:rFonts w:ascii="Arial" w:hAnsi="Arial" w:cs="Arial"/>
                <w:sz w:val="20"/>
                <w:szCs w:val="20"/>
                <w:shd w:val="clear" w:color="auto" w:fill="FFFFFF"/>
              </w:rPr>
              <w:t>S394</w:t>
            </w:r>
          </w:p>
        </w:tc>
        <w:tc>
          <w:tcPr>
            <w:tcW w:w="6662" w:type="dxa"/>
            <w:gridSpan w:val="2"/>
          </w:tcPr>
          <w:p w14:paraId="5C55F4FC" w14:textId="77777777" w:rsidR="006946FD" w:rsidRPr="00654988" w:rsidRDefault="006946FD" w:rsidP="00AF6F1B">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8EC0F34" w14:textId="77777777" w:rsidTr="00244380">
        <w:tc>
          <w:tcPr>
            <w:tcW w:w="2972" w:type="dxa"/>
          </w:tcPr>
          <w:p w14:paraId="00AF61AB" w14:textId="77777777" w:rsidR="006946FD" w:rsidRPr="00654988" w:rsidRDefault="006946FD" w:rsidP="00AF6F1B">
            <w:pPr>
              <w:rPr>
                <w:rFonts w:ascii="Arial" w:hAnsi="Arial" w:cs="Arial"/>
                <w:sz w:val="20"/>
                <w:szCs w:val="20"/>
                <w:shd w:val="clear" w:color="auto" w:fill="FFFFFF"/>
              </w:rPr>
            </w:pPr>
            <w:r w:rsidRPr="00654988">
              <w:rPr>
                <w:rFonts w:ascii="Arial" w:hAnsi="Arial" w:cs="Arial"/>
                <w:sz w:val="20"/>
                <w:szCs w:val="20"/>
                <w:shd w:val="clear" w:color="auto" w:fill="FFFFFF"/>
              </w:rPr>
              <w:t>S395</w:t>
            </w:r>
          </w:p>
        </w:tc>
        <w:tc>
          <w:tcPr>
            <w:tcW w:w="6662" w:type="dxa"/>
            <w:gridSpan w:val="2"/>
          </w:tcPr>
          <w:p w14:paraId="63427E16" w14:textId="77777777" w:rsidR="006946FD" w:rsidRPr="00654988" w:rsidRDefault="006946FD" w:rsidP="00AF6F1B">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74A300B7" w14:textId="77777777" w:rsidTr="00244380">
        <w:tc>
          <w:tcPr>
            <w:tcW w:w="9634" w:type="dxa"/>
            <w:gridSpan w:val="3"/>
          </w:tcPr>
          <w:p w14:paraId="630FEA79"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WIPI4</w:t>
            </w:r>
          </w:p>
        </w:tc>
      </w:tr>
      <w:tr w:rsidR="007E239D" w:rsidRPr="00654988" w14:paraId="336AA85D" w14:textId="77777777" w:rsidTr="00244380">
        <w:tc>
          <w:tcPr>
            <w:tcW w:w="2972" w:type="dxa"/>
          </w:tcPr>
          <w:p w14:paraId="2C5F67BD" w14:textId="77777777" w:rsidR="007E239D" w:rsidRPr="00654988" w:rsidRDefault="007E239D" w:rsidP="00196AFC">
            <w:pPr>
              <w:rPr>
                <w:rFonts w:ascii="Arial" w:hAnsi="Arial" w:cs="Arial"/>
                <w:b/>
                <w:shd w:val="clear" w:color="auto" w:fill="FFFFFF"/>
              </w:rPr>
            </w:pPr>
            <w:r w:rsidRPr="00654988">
              <w:rPr>
                <w:rFonts w:ascii="Arial" w:hAnsi="Arial" w:cs="Arial"/>
                <w:sz w:val="20"/>
                <w:szCs w:val="20"/>
                <w:shd w:val="clear" w:color="auto" w:fill="FFFFFF"/>
              </w:rPr>
              <w:t>No sites reported</w:t>
            </w:r>
          </w:p>
        </w:tc>
        <w:tc>
          <w:tcPr>
            <w:tcW w:w="6662" w:type="dxa"/>
            <w:gridSpan w:val="2"/>
          </w:tcPr>
          <w:p w14:paraId="631B8FDB" w14:textId="77777777" w:rsidR="007E239D" w:rsidRPr="00654988" w:rsidRDefault="007E239D" w:rsidP="00196AFC">
            <w:pPr>
              <w:rPr>
                <w:rFonts w:ascii="Arial" w:hAnsi="Arial" w:cs="Arial"/>
                <w:b/>
                <w:shd w:val="clear" w:color="auto" w:fill="FFFFFF"/>
              </w:rPr>
            </w:pPr>
          </w:p>
        </w:tc>
      </w:tr>
      <w:tr w:rsidR="007E239D" w:rsidRPr="00654988" w14:paraId="622B3C6B" w14:textId="77777777" w:rsidTr="00244380">
        <w:tc>
          <w:tcPr>
            <w:tcW w:w="9634" w:type="dxa"/>
            <w:gridSpan w:val="3"/>
          </w:tcPr>
          <w:p w14:paraId="1DC9CF87"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UVRAG</w:t>
            </w:r>
          </w:p>
        </w:tc>
      </w:tr>
      <w:tr w:rsidR="006946FD" w:rsidRPr="00654988" w14:paraId="6FD843FD" w14:textId="77777777" w:rsidTr="00244380">
        <w:tc>
          <w:tcPr>
            <w:tcW w:w="2972" w:type="dxa"/>
          </w:tcPr>
          <w:p w14:paraId="2FB9AE90" w14:textId="77777777" w:rsidR="006946FD" w:rsidRPr="00654988" w:rsidRDefault="006946FD" w:rsidP="00053442">
            <w:pPr>
              <w:rPr>
                <w:rFonts w:ascii="Arial" w:hAnsi="Arial" w:cs="Arial"/>
                <w:sz w:val="20"/>
                <w:szCs w:val="20"/>
                <w:shd w:val="clear" w:color="auto" w:fill="FFFFFF"/>
              </w:rPr>
            </w:pPr>
            <w:r w:rsidRPr="00654988">
              <w:rPr>
                <w:rFonts w:ascii="Arial" w:hAnsi="Arial" w:cs="Arial"/>
                <w:sz w:val="20"/>
                <w:szCs w:val="20"/>
                <w:shd w:val="clear" w:color="auto" w:fill="FFFFFF"/>
              </w:rPr>
              <w:t>S481</w:t>
            </w:r>
          </w:p>
        </w:tc>
        <w:tc>
          <w:tcPr>
            <w:tcW w:w="6662" w:type="dxa"/>
            <w:gridSpan w:val="2"/>
          </w:tcPr>
          <w:p w14:paraId="016A8E0D" w14:textId="77777777" w:rsidR="006946FD" w:rsidRPr="00654988" w:rsidRDefault="006946FD" w:rsidP="00053442">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F3281C4" w14:textId="77777777" w:rsidTr="00244380">
        <w:tc>
          <w:tcPr>
            <w:tcW w:w="2972" w:type="dxa"/>
          </w:tcPr>
          <w:p w14:paraId="56B534C0" w14:textId="77777777" w:rsidR="006946FD" w:rsidRPr="00654988" w:rsidRDefault="006946FD" w:rsidP="00053442">
            <w:pPr>
              <w:rPr>
                <w:rFonts w:ascii="Arial" w:hAnsi="Arial" w:cs="Arial"/>
                <w:sz w:val="20"/>
                <w:szCs w:val="20"/>
                <w:shd w:val="clear" w:color="auto" w:fill="FFFFFF"/>
              </w:rPr>
            </w:pPr>
            <w:r w:rsidRPr="00654988">
              <w:rPr>
                <w:rFonts w:ascii="Arial" w:hAnsi="Arial" w:cs="Arial"/>
                <w:sz w:val="20"/>
                <w:szCs w:val="20"/>
                <w:shd w:val="clear" w:color="auto" w:fill="FFFFFF"/>
              </w:rPr>
              <w:t>S482</w:t>
            </w:r>
          </w:p>
        </w:tc>
        <w:tc>
          <w:tcPr>
            <w:tcW w:w="6662" w:type="dxa"/>
            <w:gridSpan w:val="2"/>
          </w:tcPr>
          <w:p w14:paraId="00B58817" w14:textId="77777777" w:rsidR="006946FD" w:rsidRPr="00654988" w:rsidRDefault="006946FD" w:rsidP="00053442">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240C454" w14:textId="77777777" w:rsidTr="00244380">
        <w:tc>
          <w:tcPr>
            <w:tcW w:w="2972" w:type="dxa"/>
          </w:tcPr>
          <w:p w14:paraId="5FA92ADF" w14:textId="77777777" w:rsidR="006946FD" w:rsidRPr="00654988" w:rsidRDefault="006946FD" w:rsidP="00053442">
            <w:pPr>
              <w:rPr>
                <w:rFonts w:ascii="Arial" w:hAnsi="Arial" w:cs="Arial"/>
                <w:sz w:val="20"/>
                <w:szCs w:val="20"/>
                <w:shd w:val="clear" w:color="auto" w:fill="FFFFFF"/>
              </w:rPr>
            </w:pPr>
            <w:r w:rsidRPr="00654988">
              <w:rPr>
                <w:rFonts w:ascii="Arial" w:hAnsi="Arial" w:cs="Arial"/>
                <w:sz w:val="20"/>
                <w:szCs w:val="20"/>
                <w:shd w:val="clear" w:color="auto" w:fill="FFFFFF"/>
              </w:rPr>
              <w:t>T483</w:t>
            </w:r>
          </w:p>
        </w:tc>
        <w:tc>
          <w:tcPr>
            <w:tcW w:w="6662" w:type="dxa"/>
            <w:gridSpan w:val="2"/>
          </w:tcPr>
          <w:p w14:paraId="77DE9D2D" w14:textId="77777777" w:rsidR="006946FD" w:rsidRPr="00654988" w:rsidRDefault="006946FD" w:rsidP="00053442">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74BCD0C8" w14:textId="77777777" w:rsidTr="00244380">
        <w:tc>
          <w:tcPr>
            <w:tcW w:w="2972" w:type="dxa"/>
          </w:tcPr>
          <w:p w14:paraId="79B8A374"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S492</w:t>
            </w:r>
          </w:p>
        </w:tc>
        <w:tc>
          <w:tcPr>
            <w:tcW w:w="6662" w:type="dxa"/>
            <w:gridSpan w:val="2"/>
          </w:tcPr>
          <w:p w14:paraId="3B638A48" w14:textId="67443EDD" w:rsidR="006946FD" w:rsidRPr="00654988" w:rsidRDefault="006946FD" w:rsidP="00A073A9">
            <w:pPr>
              <w:pStyle w:val="ListParagraph"/>
              <w:numPr>
                <w:ilvl w:val="0"/>
                <w:numId w:val="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mTORC1</w:t>
            </w:r>
            <w:r w:rsidR="00236DD0" w:rsidRPr="00654988">
              <w:rPr>
                <w:rFonts w:ascii="Arial" w:hAnsi="Arial" w:cs="Arial"/>
                <w:sz w:val="20"/>
                <w:szCs w:val="20"/>
                <w:shd w:val="clear" w:color="auto" w:fill="FFFFFF"/>
              </w:rPr>
              <w:t xml:space="preserve">-regulated </w:t>
            </w:r>
            <w:r w:rsidRPr="00654988">
              <w:rPr>
                <w:rFonts w:ascii="Arial" w:hAnsi="Arial" w:cs="Arial"/>
                <w:sz w:val="20"/>
                <w:szCs w:val="20"/>
                <w:shd w:val="clear" w:color="auto" w:fill="FFFFFF"/>
              </w:rPr>
              <w:t>site</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{"citationID":"qX8tberH","properties":{"formattedCitation":"(Kim et al., 2015)","plainCitation":"(Kim et al., 2015)","noteIndex":0},"citationItems":[{"id":2705,"uris":["http://zotero.org/groups/2342045/items/JKLVNP4J"],"uri":["http://zotero.org/groups/2342045/items/JKLVNP4J"],"itemData":{"id":2705,"type":"article-journal","abstract":"mTORC1 plays a key role in autophagy as a negative regulator. The currently known targets of mTORC1 in the autophagy pathway mainly function at early stages of autophagosome formation. Here, we identify that mTORC1 inhibits later stages of autophagy by phosphorylating UVRAG. Under nutrient-enriched conditions, mTORC1 binds and phosphorylates UVRAG. The phosphorylation positively regulates the association of UVRAG with RUBICON, thereby enhancing the antagonizing effect of RUBICON on UVRAG-mediated autophagosome maturation. Upon dephosphorylation, UVRAG is released from RUBICON to interact with the HOPS complex, a component for the late endosome and lysosome fusion machinery, and enhances autophagosome and endosome maturation. Consequently, the dephosphorylation of UVRAG facilitates the lysosomal degradation of epidermal growth factor receptor (EGFR), reduces EGFR signaling, and suppresses cancer cell proliferation and tumor growth. These results demonstrate that mTORC1 engages in late stages of autophagy and endosome maturation, defining a broader range of mTORC1 functions in the membrane-associated processes.","container-title":"Molecular Cell","DOI":"10.1016/j.molcel.2014.11.013","ISSN":"1097-2765","issue":"2","journalAbbreviation":"Molecular Cell","language":"en","page":"207-218","source":"ScienceDirect","title":"mTORC1 Phosphorylates UVRAG to Negatively Regulate Autophagosome and Endosome Maturation","volume":"57","author":[{"family":"Kim","given":"Young-Mi"},{"family":"Jung","given":"Chang Hwa"},{"family":"Seo","given":"Minchul"},{"family":"Kim","given":"Eun Kyoung"},{"family":"Park","given":"Ji-Man"},{"family":"Bae","given":"Sun Sik"},{"family":"Kim","given":"Do-Hyung"}],"issued":{"date-parts":[["2015",1,22]]}}}],"schema":"https://github.com/citation-style-language/schema/raw/master/csl-citation.json"}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(Kim et al., 2015)</w:t>
            </w:r>
            <w:r w:rsidR="00A073A9">
              <w:rPr>
                <w:rFonts w:ascii="Arial" w:hAnsi="Arial" w:cs="Arial"/>
                <w:sz w:val="20"/>
                <w:szCs w:val="20"/>
                <w:shd w:val="clear" w:color="auto" w:fill="FFFFFF"/>
              </w:rPr>
              <w:fldChar w:fldCharType="end"/>
            </w:r>
          </w:p>
        </w:tc>
      </w:tr>
      <w:tr w:rsidR="00BE7B1B" w:rsidRPr="00654988" w14:paraId="18AC2E86" w14:textId="77777777" w:rsidTr="00244380">
        <w:tc>
          <w:tcPr>
            <w:tcW w:w="2972" w:type="dxa"/>
          </w:tcPr>
          <w:p w14:paraId="0AA286B0"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S497</w:t>
            </w:r>
          </w:p>
        </w:tc>
        <w:tc>
          <w:tcPr>
            <w:tcW w:w="6662" w:type="dxa"/>
            <w:gridSpan w:val="2"/>
          </w:tcPr>
          <w:p w14:paraId="1815D57F" w14:textId="463D7934" w:rsidR="006946FD" w:rsidRPr="00654988" w:rsidRDefault="006946FD" w:rsidP="00A073A9">
            <w:pPr>
              <w:pStyle w:val="ListParagraph"/>
              <w:numPr>
                <w:ilvl w:val="0"/>
                <w:numId w:val="25"/>
              </w:numPr>
              <w:ind w:left="357" w:hanging="357"/>
              <w:rPr>
                <w:rFonts w:ascii="Arial" w:hAnsi="Arial" w:cs="Arial"/>
                <w:sz w:val="20"/>
                <w:szCs w:val="20"/>
              </w:rPr>
            </w:pPr>
            <w:r w:rsidRPr="00654988">
              <w:rPr>
                <w:rFonts w:ascii="Arial" w:hAnsi="Arial" w:cs="Arial"/>
                <w:sz w:val="20"/>
                <w:szCs w:val="20"/>
              </w:rPr>
              <w:t>mTORC1</w:t>
            </w:r>
            <w:r w:rsidR="009A779B" w:rsidRPr="00654988">
              <w:rPr>
                <w:rFonts w:ascii="Arial" w:hAnsi="Arial" w:cs="Arial"/>
                <w:sz w:val="20"/>
                <w:szCs w:val="20"/>
              </w:rPr>
              <w:t>-regulated site</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{"citationID":"y2CJck7C","properties":{"formattedCitation":"(Kim et al., 2015)","plainCitation":"(Kim et al., 2015)","noteIndex":0},"citationItems":[{"id":2705,"uris":["http://zotero.org/groups/2342045/items/JKLVNP4J"],"uri":["http://zotero.org/groups/2342045/items/JKLVNP4J"],"itemData":{"id":2705,"type":"article-journal","abstract":"mTORC1 plays a key role in autophagy as a negative regulator. The currently known targets of mTORC1 in the autophagy pathway mainly function at early stages of autophagosome formation. Here, we identify that mTORC1 inhibits later stages of autophagy by phosphorylating UVRAG. Under nutrient-enriched conditions, mTORC1 binds and phosphorylates UVRAG. The phosphorylation positively regulates the association of UVRAG with RUBICON, thereby enhancing the antagonizing effect of RUBICON on UVRAG-mediated autophagosome maturation. Upon dephosphorylation, UVRAG is released from RUBICON to interact with the HOPS complex, a component for the late endosome and lysosome fusion machinery, and enhances autophagosome and endosome maturation. Consequently, the dephosphorylation of UVRAG facilitates the lysosomal degradation of epidermal growth factor receptor (EGFR), reduces EGFR signaling, and suppresses cancer cell proliferation and tumor growth. These results demonstrate that mTORC1 engages in late stages of autophagy and endosome maturation, defining a broader range of mTORC1 functions in the membrane-associated processes.","container-title":"Molecular Cell","DOI":"10.1016/j.molcel.2014.11.013","ISSN":"1097-2765","issue":"2","journalAbbreviation":"Molecular Cell","language":"en","page":"207-218","source":"ScienceDirect","title":"mTORC1 Phosphorylates UVRAG to Negatively Regulate Autophagosome and Endosome Maturation","volume":"57","author":[{"family":"Kim","given":"Young-Mi"},{"family":"Jung","given":"Chang Hwa"},{"family":"Seo","given":"Minchul"},{"family":"Kim","given":"Eun Kyoung"},{"family":"Park","given":"Ji-Man"},{"family":"Bae","given":"Sun Sik"},{"family":"Kim","given":"Do-Hyung"}],"issued":{"date-parts":[["2015",1,22]]}}}],"schema":"https://github.com/citation-style-language/schema/raw/master/csl-citation.json"}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(Kim et al., 2015)</w:t>
            </w:r>
            <w:r w:rsidR="00A073A9">
              <w:rPr>
                <w:rFonts w:ascii="Arial" w:hAnsi="Arial" w:cs="Arial"/>
                <w:sz w:val="20"/>
                <w:szCs w:val="20"/>
                <w:shd w:val="clear" w:color="auto" w:fill="FFFFFF"/>
              </w:rPr>
              <w:fldChar w:fldCharType="end"/>
            </w:r>
            <w:r w:rsidR="009A779B" w:rsidRPr="00654988">
              <w:rPr>
                <w:rFonts w:ascii="Arial" w:hAnsi="Arial" w:cs="Arial"/>
                <w:sz w:val="20"/>
                <w:szCs w:val="20"/>
              </w:rPr>
              <w:t>. T</w:t>
            </w:r>
            <w:r w:rsidRPr="00654988">
              <w:rPr>
                <w:rFonts w:ascii="Arial" w:hAnsi="Arial" w:cs="Arial"/>
                <w:sz w:val="20"/>
                <w:szCs w:val="20"/>
              </w:rPr>
              <w:t>his enhances UVRAG interaction with RUBICON</w:t>
            </w:r>
            <w:r w:rsidR="009A779B" w:rsidRPr="00654988">
              <w:rPr>
                <w:rFonts w:ascii="Arial" w:hAnsi="Arial" w:cs="Arial"/>
                <w:sz w:val="20"/>
                <w:szCs w:val="20"/>
              </w:rPr>
              <w:t xml:space="preserve">, resulting in </w:t>
            </w:r>
            <w:r w:rsidRPr="00654988">
              <w:rPr>
                <w:rFonts w:ascii="Arial" w:hAnsi="Arial" w:cs="Arial"/>
                <w:sz w:val="20"/>
                <w:szCs w:val="20"/>
              </w:rPr>
              <w:t>inhibit</w:t>
            </w:r>
            <w:r w:rsidR="009A779B" w:rsidRPr="00654988">
              <w:rPr>
                <w:rFonts w:ascii="Arial" w:hAnsi="Arial" w:cs="Arial"/>
                <w:sz w:val="20"/>
                <w:szCs w:val="20"/>
              </w:rPr>
              <w:t>ion of</w:t>
            </w:r>
            <w:r w:rsidRPr="00654988">
              <w:rPr>
                <w:rFonts w:ascii="Arial" w:hAnsi="Arial" w:cs="Arial"/>
                <w:sz w:val="20"/>
                <w:szCs w:val="20"/>
              </w:rPr>
              <w:t xml:space="preserve"> autophagosome maturation</w:t>
            </w:r>
          </w:p>
        </w:tc>
      </w:tr>
      <w:tr w:rsidR="006946FD" w:rsidRPr="00654988" w14:paraId="4D8A5321" w14:textId="77777777" w:rsidTr="00244380">
        <w:tc>
          <w:tcPr>
            <w:tcW w:w="2972" w:type="dxa"/>
          </w:tcPr>
          <w:p w14:paraId="208185CD"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T517</w:t>
            </w:r>
          </w:p>
        </w:tc>
        <w:tc>
          <w:tcPr>
            <w:tcW w:w="6662" w:type="dxa"/>
            <w:gridSpan w:val="2"/>
          </w:tcPr>
          <w:p w14:paraId="23F6C904" w14:textId="0D147EFA" w:rsidR="006946FD" w:rsidRPr="00654988" w:rsidRDefault="009A779B" w:rsidP="00A073A9">
            <w:pPr>
              <w:pStyle w:val="ListParagraph"/>
              <w:numPr>
                <w:ilvl w:val="0"/>
                <w:numId w:val="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mTORC1-regulated site</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{"citationID":"LOHu6Xrd","properties":{"formattedCitation":"(Kim et al., 2015)","plainCitation":"(Kim et al., 2015)","noteIndex":0},"citationItems":[{"id":2705,"uris":["http://zotero.org/groups/2342045/items/JKLVNP4J"],"uri":["http://zotero.org/groups/2342045/items/JKLVNP4J"],"itemData":{"id":2705,"type":"article-journal","abstract":"mTORC1 plays a key role in autophagy as a negative regulator. The currently known targets of mTORC1 in the autophagy pathway mainly function at early stages of autophagosome formation. Here, we identify that mTORC1 inhibits later stages of autophagy by phosphorylating UVRAG. Under nutrient-enriched conditions, mTORC1 binds and phosphorylates UVRAG. The phosphorylation positively regulates the association of UVRAG with RUBICON, thereby enhancing the antagonizing effect of RUBICON on UVRAG-mediated autophagosome maturation. Upon dephosphorylation, UVRAG is released from RUBICON to interact with the HOPS complex, a component for the late endosome and lysosome fusion machinery, and enhances autophagosome and endosome maturation. Consequently, the dephosphorylation of UVRAG facilitates the lysosomal degradation of epidermal growth factor receptor (EGFR), reduces EGFR signaling, and suppresses cancer cell proliferation and tumor growth. These results demonstrate that mTORC1 engages in late stages of autophagy and endosome maturation, defining a broader range of mTORC1 functions in the membrane-associated processes.","container-title":"Molecular Cell","DOI":"10.1016/j.molcel.2014.11.013","ISSN":"1097-2765","issue":"2","journalAbbreviation":"Molecular Cell","language":"en","page":"207-218","source":"ScienceDirect","title":"mTORC1 Phosphorylates UVRAG to Negatively Regulate Autophagosome and Endosome Maturation","volume":"57","author":[{"family":"Kim","given":"Young-Mi"},{"family":"Jung","given":"Chang Hwa"},{"family":"Seo","given":"Minchul"},{"family":"Kim","given":"Eun Kyoung"},{"family":"Park","given":"Ji-Man"},{"family":"Bae","given":"Sun Sik"},{"family":"Kim","given":"Do-Hyung"}],"issued":{"date-parts":[["2015",1,22]]}}}],"schema":"https://github.com/citation-style-language/schema/raw/master/csl-citation.json"}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(Kim et al., 2015)</w:t>
            </w:r>
            <w:r w:rsidR="00A073A9">
              <w:rPr>
                <w:rFonts w:ascii="Arial" w:hAnsi="Arial" w:cs="Arial"/>
                <w:sz w:val="20"/>
                <w:szCs w:val="20"/>
                <w:shd w:val="clear" w:color="auto" w:fill="FFFFFF"/>
              </w:rPr>
              <w:fldChar w:fldCharType="end"/>
            </w:r>
          </w:p>
        </w:tc>
      </w:tr>
      <w:tr w:rsidR="006946FD" w:rsidRPr="00654988" w14:paraId="4DD1C87E" w14:textId="77777777" w:rsidTr="00244380">
        <w:tc>
          <w:tcPr>
            <w:tcW w:w="2972" w:type="dxa"/>
          </w:tcPr>
          <w:p w14:paraId="4EA3E710"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S521</w:t>
            </w:r>
          </w:p>
        </w:tc>
        <w:tc>
          <w:tcPr>
            <w:tcW w:w="6662" w:type="dxa"/>
            <w:gridSpan w:val="2"/>
          </w:tcPr>
          <w:p w14:paraId="00E434FF" w14:textId="0F9DDFA2" w:rsidR="006946FD" w:rsidRPr="00654988" w:rsidRDefault="00F54610" w:rsidP="00A073A9">
            <w:pPr>
              <w:pStyle w:val="ListParagraph"/>
              <w:numPr>
                <w:ilvl w:val="0"/>
                <w:numId w:val="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 xml:space="preserve">Phosphorylation </w:t>
            </w:r>
            <w:r w:rsidR="008D2871">
              <w:rPr>
                <w:rFonts w:ascii="Arial" w:hAnsi="Arial" w:cs="Arial"/>
                <w:sz w:val="20"/>
                <w:szCs w:val="20"/>
                <w:shd w:val="clear" w:color="auto" w:fill="FFFFFF"/>
              </w:rPr>
              <w:t>at</w:t>
            </w:r>
            <w:r w:rsidRPr="00654988">
              <w:rPr>
                <w:rFonts w:ascii="Arial" w:hAnsi="Arial" w:cs="Arial"/>
                <w:sz w:val="20"/>
                <w:szCs w:val="20"/>
                <w:shd w:val="clear" w:color="auto" w:fill="FFFFFF"/>
              </w:rPr>
              <w:t xml:space="preserve"> this site by</w:t>
            </w:r>
            <w:r w:rsidR="006946FD" w:rsidRPr="00654988">
              <w:rPr>
                <w:rFonts w:ascii="Arial" w:hAnsi="Arial" w:cs="Arial"/>
                <w:sz w:val="20"/>
                <w:szCs w:val="20"/>
                <w:shd w:val="clear" w:color="auto" w:fill="FFFFFF"/>
              </w:rPr>
              <w:t xml:space="preserve"> CSNK1A1</w:t>
            </w:r>
            <w:r w:rsidRPr="00654988">
              <w:rPr>
                <w:rFonts w:ascii="Arial" w:hAnsi="Arial" w:cs="Arial"/>
                <w:sz w:val="20"/>
                <w:szCs w:val="20"/>
                <w:shd w:val="clear" w:color="auto" w:fill="FFFFFF"/>
              </w:rPr>
              <w:t xml:space="preserve"> </w:t>
            </w:r>
            <w:r w:rsidR="006946FD" w:rsidRPr="00654988">
              <w:rPr>
                <w:rFonts w:ascii="Arial" w:hAnsi="Arial" w:cs="Arial"/>
                <w:sz w:val="20"/>
                <w:szCs w:val="20"/>
                <w:shd w:val="clear" w:color="auto" w:fill="FFFFFF"/>
              </w:rPr>
              <w:t>disrupts SMURF1 binding to UVRAG and blocks UVRAG ubiquitylation that is needed to promote autophagosome maturation</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{"citationID":"f5VuIYQL","properties":{"formattedCitation":"(Feng et al., 2019)","plainCitation":"(Feng et al., 2019)","noteIndex":0},"citationItems":[{"id":2686,"uris":["http://zotero.org/groups/2342045/items/PRPC334E"],"uri":["http://zotero.org/groups/2342045/items/PRPC334E"],"itemData":{"id":2686,"type":"article-journal","abstract":"UVRAG (UV radiation resistance associated) is an important regulator of mammalian macroautophagy/autophagy by interacting with BECN1, PIK3C3, and RUBCN. Phosphorylation of UVRAG by MTORC1 negatively regulates autophagosome maturation under nutrient-enriched conditions. However, how UVRAG ubiquitination is regulated is still unknown. Here we report that UVRAG is ubiquitinated by SMURF1 at lysine residues 517 and 559, which decreases the association of UVRAG with RUBCN and promotes autophagosome maturation. However, the deubiquitinase ZRANB1 specifically cleaves SMURF1-induced K29 and K33-linked polyubiquitin chains from UVRAG, thereby increasing the binding of UVRAG to RUBCN and inhibiting autophagy flux. We also demonstrate that CSNK1A1-mediated UVRAG phosphorylation at Ser522 disrupts the binding of SMURF1 to UVRAG through PPxY motif and blocks UVRAG ubiquitination-mediated autophagosome maturation. Interestingly, ZRANB1 is phosphorylated at Thr35, and Ser209 residues by CSNK1A1, and this phosphorylation activates its deubiquitinating activity. Importantly, we provide in vitro and in vivo evidence that UVRAG ubiquitination at lysine residues 517 and 559 or prevention of Ser522 phosphorylation by D4476, a CSNK1A1 inhibitor, enhances the lysosomal degradation of EGFR, which significantly inhibits hepatocellular carcinoma (HCC) growth. Furthermore, UVRAG S522 phosphorylation levels correlate with ZRANB1 T35/S209 phosphorylation levels and poor prognosis in HCC patients. These findings identify a novel molecular mechanism by which ubiquitination and phosphorylation of UVRAG regulate its function in autophagosome maturation and HCC growth, encouraging further study of their potential therapeutic implications., Abbreviations: ATG: autophagy related; BafA1: bafilomycin A1; BECN1: beclin 1; CHX: cycloheximide; CSNK1A1/CK1α: casein kinase 1 alpha 1; CQ: chloroquine; DUB: deubiquitinase; EBSS: Earle’s balanced salt solution; EGF: epidermal growth factor; GFP: green fluorescent protein; GST: glutathione S-transferase; HBSS: Hanks balanced salts solution; HCC: hepatocellular carcinoma; MAP1LC3B/LC3: microtubule associated protein 1 light chain 3 beta; MEFs: mouse embryo fibroblasts; mRFP: monomeric red fluorescent protein; PIK3C3/VPS34: phosphatidylinositol 3-kinase catalytic subunit type 3; PTMs: post-translational modifications; RUBCN: rubicon autophagy regulator; siRNA: small interfering RNA; SMURF1: SMAD specific E3 ubiquitin protein ligase 1; SQSTM1: sequestosome 1; Ub-AMC: ubiquitin-7-amido-4-methylcoumarin: a fluorogenic substrate; UVRAG: UV radiation resistance associated; ZRANB1/TRABID: zinc finger RANBP2-type containing 1","container-title":"Autophagy","DOI":"10.1080/15548627.2019.1570063","ISSN":"1554-8627","issue":"7","journalAbbreviation":"Autophagy","note":"PMID: 30686098\nPMCID: PMC6613838","page":"1130-1149","source":"PubMed Central","title":"Ubiquitination of UVRAG by SMURF1 promotes autophagosome maturation and inhibits hepatocellular carcinoma growth","volume":"15","author":[{"family":"Feng","given":"Xing"},{"family":"Jia","given":"Yanyan"},{"family":"Zhang","given":"Yuyu"},{"family":"Ma","given":"Fei"},{"family":"Zhu","given":"Yuekun"},{"family":"Hong","given":"Xuehui"},{"family":"Zhou","given":"Qingxin"},{"family":"He","given":"Ruixing"},{"family":"Zhang","given":"Heng"},{"family":"Jin","given":"Junfei"},{"family":"Piao","given":"Daxun"},{"family":"Huang","given":"He"},{"family":"Li","given":"Qinghua"},{"family":"Qiu","given":"Xingfeng"},{"family":"Zhang","given":"Zhiyong"}],"issued":{"date-parts":[["2019",1,27]]}}}],"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(Feng et al., 2019)</w:t>
            </w:r>
            <w:r w:rsidR="00A073A9">
              <w:rPr>
                <w:rFonts w:ascii="Arial" w:hAnsi="Arial" w:cs="Arial"/>
                <w:sz w:val="20"/>
                <w:szCs w:val="20"/>
                <w:shd w:val="clear" w:color="auto" w:fill="FFFFFF"/>
              </w:rPr>
              <w:fldChar w:fldCharType="end"/>
            </w:r>
          </w:p>
        </w:tc>
      </w:tr>
      <w:tr w:rsidR="006946FD" w:rsidRPr="00654988" w14:paraId="0C90372D" w14:textId="77777777" w:rsidTr="00244380">
        <w:tc>
          <w:tcPr>
            <w:tcW w:w="2972" w:type="dxa"/>
          </w:tcPr>
          <w:p w14:paraId="040569E9"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S548</w:t>
            </w:r>
          </w:p>
        </w:tc>
        <w:tc>
          <w:tcPr>
            <w:tcW w:w="6662" w:type="dxa"/>
            <w:gridSpan w:val="2"/>
          </w:tcPr>
          <w:p w14:paraId="5EBCD04E" w14:textId="0446B596" w:rsidR="006946FD" w:rsidRPr="00654988" w:rsidRDefault="009A779B" w:rsidP="00A073A9">
            <w:pPr>
              <w:pStyle w:val="ListParagraph"/>
              <w:numPr>
                <w:ilvl w:val="0"/>
                <w:numId w:val="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mTORC1-regulated site</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{"citationID":"9MYwK5Cd","properties":{"formattedCitation":"(Kim et al., 2015)","plainCitation":"(Kim et al., 2015)","noteIndex":0},"citationItems":[{"id":2705,"uris":["http://zotero.org/groups/2342045/items/JKLVNP4J"],"uri":["http://zotero.org/groups/2342045/items/JKLVNP4J"],"itemData":{"id":2705,"type":"article-journal","abstract":"mTORC1 plays a key role in autophagy as a negative regulator. The currently known targets of mTORC1 in the autophagy pathway mainly function at early stages of autophagosome formation. Here, we identify that mTORC1 inhibits later stages of autophagy by phosphorylating UVRAG. Under nutrient-enriched conditions, mTORC1 binds and phosphorylates UVRAG. The phosphorylation positively regulates the association of UVRAG with RUBICON, thereby enhancing the antagonizing effect of RUBICON on UVRAG-mediated autophagosome maturation. Upon dephosphorylation, UVRAG is released from RUBICON to interact with the HOPS complex, a component for the late endosome and lysosome fusion machinery, and enhances autophagosome and endosome maturation. Consequently, the dephosphorylation of UVRAG facilitates the lysosomal degradation of epidermal growth factor receptor (EGFR), reduces EGFR signaling, and suppresses cancer cell proliferation and tumor growth. These results demonstrate that mTORC1 engages in late stages of autophagy and endosome maturation, defining a broader range of mTORC1 functions in the membrane-associated processes.","container-title":"Molecular Cell","DOI":"10.1016/j.molcel.2014.11.013","ISSN":"1097-2765","issue":"2","journalAbbreviation":"Molecular Cell","language":"en","page":"207-218","source":"ScienceDirect","title":"mTORC1 Phosphorylates UVRAG to Negatively Regulate Autophagosome and Endosome Maturation","volume":"57","author":[{"family":"Kim","given":"Young-Mi"},{"family":"Jung","given":"Chang Hwa"},{"family":"Seo","given":"Minchul"},{"family":"Kim","given":"Eun Kyoung"},{"family":"Park","given":"Ji-Man"},{"family":"Bae","given":"Sun Sik"},{"family":"Kim","given":"Do-Hyung"}],"issued":{"date-parts":[["2015",1,22]]}}}],"schema":"https://github.com/citation-style-language/schema/raw/master/csl-citation.json"}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(Kim et al., 2015)</w:t>
            </w:r>
            <w:r w:rsidR="00A073A9">
              <w:rPr>
                <w:rFonts w:ascii="Arial" w:hAnsi="Arial" w:cs="Arial"/>
                <w:sz w:val="20"/>
                <w:szCs w:val="20"/>
                <w:shd w:val="clear" w:color="auto" w:fill="FFFFFF"/>
              </w:rPr>
              <w:fldChar w:fldCharType="end"/>
            </w:r>
          </w:p>
        </w:tc>
      </w:tr>
      <w:tr w:rsidR="006946FD" w:rsidRPr="00654988" w14:paraId="54E524F3" w14:textId="77777777" w:rsidTr="00244380">
        <w:tc>
          <w:tcPr>
            <w:tcW w:w="2972" w:type="dxa"/>
          </w:tcPr>
          <w:p w14:paraId="13A16FF9" w14:textId="77777777" w:rsidR="006946FD" w:rsidRPr="00654988" w:rsidRDefault="006946FD" w:rsidP="00196AFC">
            <w:pPr>
              <w:rPr>
                <w:rFonts w:ascii="Arial" w:hAnsi="Arial" w:cs="Arial"/>
                <w:sz w:val="20"/>
                <w:szCs w:val="20"/>
                <w:shd w:val="clear" w:color="auto" w:fill="FFFFFF"/>
              </w:rPr>
            </w:pPr>
            <w:r w:rsidRPr="00654988">
              <w:rPr>
                <w:rFonts w:ascii="Arial" w:hAnsi="Arial" w:cs="Arial"/>
                <w:sz w:val="20"/>
                <w:szCs w:val="20"/>
                <w:shd w:val="clear" w:color="auto" w:fill="FFFFFF"/>
              </w:rPr>
              <w:t>S549</w:t>
            </w:r>
          </w:p>
        </w:tc>
        <w:tc>
          <w:tcPr>
            <w:tcW w:w="6662" w:type="dxa"/>
            <w:gridSpan w:val="2"/>
          </w:tcPr>
          <w:p w14:paraId="335166E5" w14:textId="597D42D9" w:rsidR="006946FD" w:rsidRPr="00654988" w:rsidRDefault="009A779B" w:rsidP="00A073A9">
            <w:pPr>
              <w:pStyle w:val="ListParagraph"/>
              <w:numPr>
                <w:ilvl w:val="0"/>
                <w:numId w:val="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mTORC1-regulated site</w:t>
            </w:r>
            <w:r w:rsidR="00A073A9">
              <w:rPr>
                <w:rFonts w:ascii="Arial" w:hAnsi="Arial" w:cs="Arial"/>
                <w:sz w:val="20"/>
                <w:szCs w:val="20"/>
                <w:shd w:val="clear" w:color="auto" w:fill="FFFFFF"/>
              </w:rPr>
              <w:fldChar w:fldCharType="begin"/>
            </w:r>
            <w:r w:rsidR="008255B7">
              <w:rPr>
                <w:rFonts w:ascii="Arial" w:hAnsi="Arial" w:cs="Arial"/>
                <w:sz w:val="20"/>
                <w:szCs w:val="20"/>
                <w:shd w:val="clear" w:color="auto" w:fill="FFFFFF"/>
              </w:rPr>
              <w:instrText xml:space="preserve"> ADDIN ZOTERO_ITEM CSL_CITATION {"citationID":"goAmNCo5","properties":{"formattedCitation":"(Kim et al., 2015)","plainCitation":"(Kim et al., 2015)","noteIndex":0},"citationItems":[{"id":2705,"uris":["http://zotero.org/groups/2342045/items/JKLVNP4J"],"uri":["http://zotero.org/groups/2342045/items/JKLVNP4J"],"itemData":{"id":2705,"type":"article-journal","abstract":"mTORC1 plays a key role in autophagy as a negative regulator. The currently known targets of mTORC1 in the autophagy pathway mainly function at early stages of autophagosome formation. Here, we identify that mTORC1 inhibits later stages of autophagy by phosphorylating UVRAG. Under nutrient-enriched conditions, mTORC1 binds and phosphorylates UVRAG. The phosphorylation positively regulates the association of UVRAG with RUBICON, thereby enhancing the antagonizing effect of RUBICON on UVRAG-mediated autophagosome maturation. Upon dephosphorylation, UVRAG is released from RUBICON to interact with the HOPS complex, a component for the late endosome and lysosome fusion machinery, and enhances autophagosome and endosome maturation. Consequently, the dephosphorylation of UVRAG facilitates the lysosomal degradation of epidermal growth factor receptor (EGFR), reduces EGFR signaling, and suppresses cancer cell proliferation and tumor growth. These results demonstrate that mTORC1 engages in late stages of autophagy and endosome maturation, defining a broader range of mTORC1 functions in the membrane-associated processes.","container-title":"Molecular Cell","DOI":"10.1016/j.molcel.2014.11.013","ISSN":"1097-2765","issue":"2","journalAbbreviation":"Molecular Cell","language":"en","page":"207-218","source":"ScienceDirect","title":"mTORC1 Phosphorylates UVRAG to Negatively Regulate Autophagosome and Endosome Maturation","volume":"57","author":[{"family":"Kim","given":"Young-Mi"},{"family":"Jung","given":"Chang Hwa"},{"family":"Seo","given":"Minchul"},{"family":"Kim","given":"Eun Kyoung"},{"family":"Park","given":"Ji-Man"},{"family":"Bae","given":"Sun Sik"},{"family":"Kim","given":"Do-Hyung"}],"issued":{"date-parts":[["2015",1,22]]}}}],"schema":"https://github.com/citation-style-language/schema/raw/master/csl-citation.json"} </w:instrText>
            </w:r>
            <w:r w:rsidR="00A073A9">
              <w:rPr>
                <w:rFonts w:ascii="Arial" w:hAnsi="Arial" w:cs="Arial"/>
                <w:sz w:val="20"/>
                <w:szCs w:val="20"/>
                <w:shd w:val="clear" w:color="auto" w:fill="FFFFFF"/>
              </w:rPr>
              <w:fldChar w:fldCharType="separate"/>
            </w:r>
            <w:r w:rsidR="008255B7" w:rsidRPr="008255B7">
              <w:rPr>
                <w:rFonts w:ascii="Arial" w:hAnsi="Arial" w:cs="Arial"/>
                <w:sz w:val="20"/>
              </w:rPr>
              <w:t>(Kim et al., 2015)</w:t>
            </w:r>
            <w:r w:rsidR="00A073A9">
              <w:rPr>
                <w:rFonts w:ascii="Arial" w:hAnsi="Arial" w:cs="Arial"/>
                <w:sz w:val="20"/>
                <w:szCs w:val="20"/>
                <w:shd w:val="clear" w:color="auto" w:fill="FFFFFF"/>
              </w:rPr>
              <w:fldChar w:fldCharType="end"/>
            </w:r>
          </w:p>
        </w:tc>
      </w:tr>
      <w:tr w:rsidR="006946FD" w:rsidRPr="00654988" w14:paraId="00E9A27E" w14:textId="77777777" w:rsidTr="00244380">
        <w:tc>
          <w:tcPr>
            <w:tcW w:w="2972" w:type="dxa"/>
          </w:tcPr>
          <w:p w14:paraId="75C75C3C" w14:textId="77777777" w:rsidR="006946FD" w:rsidRPr="00654988" w:rsidRDefault="006946FD" w:rsidP="00CE3EA5">
            <w:pPr>
              <w:rPr>
                <w:rFonts w:ascii="Arial" w:hAnsi="Arial" w:cs="Arial"/>
                <w:sz w:val="20"/>
                <w:szCs w:val="20"/>
                <w:shd w:val="clear" w:color="auto" w:fill="FFFFFF"/>
              </w:rPr>
            </w:pPr>
            <w:r w:rsidRPr="00654988">
              <w:rPr>
                <w:rFonts w:ascii="Arial" w:hAnsi="Arial" w:cs="Arial"/>
                <w:sz w:val="20"/>
                <w:szCs w:val="20"/>
                <w:shd w:val="clear" w:color="auto" w:fill="FFFFFF"/>
              </w:rPr>
              <w:t>S688</w:t>
            </w:r>
          </w:p>
        </w:tc>
        <w:tc>
          <w:tcPr>
            <w:tcW w:w="6662" w:type="dxa"/>
            <w:gridSpan w:val="2"/>
          </w:tcPr>
          <w:p w14:paraId="7C2A6174" w14:textId="77777777" w:rsidR="006946FD" w:rsidRPr="00654988" w:rsidRDefault="006946FD" w:rsidP="00CE3EA5">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3A1EE03F" w14:textId="77777777" w:rsidTr="00244380">
        <w:tc>
          <w:tcPr>
            <w:tcW w:w="9634" w:type="dxa"/>
            <w:gridSpan w:val="3"/>
          </w:tcPr>
          <w:p w14:paraId="1E0B7F49"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RUBIC</w:t>
            </w:r>
          </w:p>
        </w:tc>
      </w:tr>
      <w:tr w:rsidR="006946FD" w:rsidRPr="00654988" w14:paraId="731AD910" w14:textId="77777777" w:rsidTr="00244380">
        <w:tc>
          <w:tcPr>
            <w:tcW w:w="2972" w:type="dxa"/>
          </w:tcPr>
          <w:p w14:paraId="4D8DB63A"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S198</w:t>
            </w:r>
          </w:p>
        </w:tc>
        <w:tc>
          <w:tcPr>
            <w:tcW w:w="6662" w:type="dxa"/>
            <w:gridSpan w:val="2"/>
          </w:tcPr>
          <w:p w14:paraId="5094AF6D"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3F12505" w14:textId="77777777" w:rsidTr="00244380">
        <w:tc>
          <w:tcPr>
            <w:tcW w:w="2972" w:type="dxa"/>
          </w:tcPr>
          <w:p w14:paraId="68062D4D"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S250</w:t>
            </w:r>
          </w:p>
        </w:tc>
        <w:tc>
          <w:tcPr>
            <w:tcW w:w="6662" w:type="dxa"/>
            <w:gridSpan w:val="2"/>
          </w:tcPr>
          <w:p w14:paraId="5004D1CA"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1E15B3D5" w14:textId="77777777" w:rsidTr="00244380">
        <w:tc>
          <w:tcPr>
            <w:tcW w:w="2972" w:type="dxa"/>
          </w:tcPr>
          <w:p w14:paraId="35262D93"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S252</w:t>
            </w:r>
          </w:p>
        </w:tc>
        <w:tc>
          <w:tcPr>
            <w:tcW w:w="6662" w:type="dxa"/>
            <w:gridSpan w:val="2"/>
          </w:tcPr>
          <w:p w14:paraId="14AF2471" w14:textId="77777777" w:rsidR="006946FD" w:rsidRPr="00654988" w:rsidRDefault="006946FD" w:rsidP="005863E6">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31BCFCF0" w14:textId="77777777" w:rsidTr="00244380">
        <w:tc>
          <w:tcPr>
            <w:tcW w:w="2972" w:type="dxa"/>
          </w:tcPr>
          <w:p w14:paraId="41A0AF5F"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S370</w:t>
            </w:r>
          </w:p>
        </w:tc>
        <w:tc>
          <w:tcPr>
            <w:tcW w:w="6662" w:type="dxa"/>
            <w:gridSpan w:val="2"/>
          </w:tcPr>
          <w:p w14:paraId="4C74A3CE"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597785DE" w14:textId="77777777" w:rsidTr="00244380">
        <w:tc>
          <w:tcPr>
            <w:tcW w:w="2972" w:type="dxa"/>
          </w:tcPr>
          <w:p w14:paraId="3A405AA1"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S380</w:t>
            </w:r>
          </w:p>
        </w:tc>
        <w:tc>
          <w:tcPr>
            <w:tcW w:w="6662" w:type="dxa"/>
            <w:gridSpan w:val="2"/>
          </w:tcPr>
          <w:p w14:paraId="51E1AB5A"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43CDB7C" w14:textId="77777777" w:rsidTr="00244380">
        <w:tc>
          <w:tcPr>
            <w:tcW w:w="2972" w:type="dxa"/>
          </w:tcPr>
          <w:p w14:paraId="59577E3F"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S389</w:t>
            </w:r>
          </w:p>
        </w:tc>
        <w:tc>
          <w:tcPr>
            <w:tcW w:w="6662" w:type="dxa"/>
            <w:gridSpan w:val="2"/>
          </w:tcPr>
          <w:p w14:paraId="0C93269C"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3D5744D" w14:textId="77777777" w:rsidTr="00244380">
        <w:tc>
          <w:tcPr>
            <w:tcW w:w="2972" w:type="dxa"/>
          </w:tcPr>
          <w:p w14:paraId="2DBCC8FD"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S390</w:t>
            </w:r>
          </w:p>
        </w:tc>
        <w:tc>
          <w:tcPr>
            <w:tcW w:w="6662" w:type="dxa"/>
            <w:gridSpan w:val="2"/>
          </w:tcPr>
          <w:p w14:paraId="3E775A71"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090B3037" w14:textId="77777777" w:rsidTr="00244380">
        <w:tc>
          <w:tcPr>
            <w:tcW w:w="2972" w:type="dxa"/>
          </w:tcPr>
          <w:p w14:paraId="2EDB59E2"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S392</w:t>
            </w:r>
          </w:p>
        </w:tc>
        <w:tc>
          <w:tcPr>
            <w:tcW w:w="6662" w:type="dxa"/>
            <w:gridSpan w:val="2"/>
          </w:tcPr>
          <w:p w14:paraId="3013F783"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8D73AEB" w14:textId="77777777" w:rsidTr="00244380">
        <w:tc>
          <w:tcPr>
            <w:tcW w:w="2972" w:type="dxa"/>
          </w:tcPr>
          <w:p w14:paraId="0D45565F"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S412</w:t>
            </w:r>
          </w:p>
        </w:tc>
        <w:tc>
          <w:tcPr>
            <w:tcW w:w="6662" w:type="dxa"/>
            <w:gridSpan w:val="2"/>
          </w:tcPr>
          <w:p w14:paraId="380F2A51"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1906C2B" w14:textId="77777777" w:rsidTr="00244380">
        <w:tc>
          <w:tcPr>
            <w:tcW w:w="2972" w:type="dxa"/>
          </w:tcPr>
          <w:p w14:paraId="33FC2CE0"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S552</w:t>
            </w:r>
          </w:p>
        </w:tc>
        <w:tc>
          <w:tcPr>
            <w:tcW w:w="6662" w:type="dxa"/>
            <w:gridSpan w:val="2"/>
          </w:tcPr>
          <w:p w14:paraId="6C526F9B" w14:textId="77777777" w:rsidR="006946FD" w:rsidRPr="00654988" w:rsidRDefault="006946FD" w:rsidP="005863E6">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246CC0B6" w14:textId="77777777" w:rsidTr="00244380">
        <w:tc>
          <w:tcPr>
            <w:tcW w:w="2972" w:type="dxa"/>
          </w:tcPr>
          <w:p w14:paraId="0C9285F7"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S554</w:t>
            </w:r>
          </w:p>
        </w:tc>
        <w:tc>
          <w:tcPr>
            <w:tcW w:w="6662" w:type="dxa"/>
            <w:gridSpan w:val="2"/>
          </w:tcPr>
          <w:p w14:paraId="6C2A0E20" w14:textId="77777777" w:rsidR="006946FD" w:rsidRPr="00654988" w:rsidRDefault="006946FD" w:rsidP="005863E6">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6AFB3502" w14:textId="77777777" w:rsidTr="00244380">
        <w:tc>
          <w:tcPr>
            <w:tcW w:w="2972" w:type="dxa"/>
          </w:tcPr>
          <w:p w14:paraId="7B29CCEC" w14:textId="77777777" w:rsidR="006946FD" w:rsidRPr="00654988" w:rsidRDefault="006946FD" w:rsidP="005863E6">
            <w:pPr>
              <w:rPr>
                <w:rFonts w:ascii="Arial" w:hAnsi="Arial" w:cs="Arial"/>
                <w:sz w:val="20"/>
                <w:szCs w:val="20"/>
                <w:shd w:val="clear" w:color="auto" w:fill="FFFFFF"/>
              </w:rPr>
            </w:pPr>
            <w:r w:rsidRPr="00654988">
              <w:rPr>
                <w:rFonts w:ascii="Arial" w:hAnsi="Arial" w:cs="Arial"/>
                <w:sz w:val="20"/>
                <w:szCs w:val="20"/>
                <w:shd w:val="clear" w:color="auto" w:fill="FFFFFF"/>
              </w:rPr>
              <w:t>S558</w:t>
            </w:r>
          </w:p>
        </w:tc>
        <w:tc>
          <w:tcPr>
            <w:tcW w:w="6662" w:type="dxa"/>
            <w:gridSpan w:val="2"/>
          </w:tcPr>
          <w:p w14:paraId="0DA76C87" w14:textId="77777777" w:rsidR="006946FD" w:rsidRPr="00654988" w:rsidRDefault="006946FD" w:rsidP="005863E6">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642A0924" w14:textId="77777777" w:rsidTr="00244380">
        <w:tc>
          <w:tcPr>
            <w:tcW w:w="9634" w:type="dxa"/>
            <w:gridSpan w:val="3"/>
          </w:tcPr>
          <w:p w14:paraId="422D6FE2" w14:textId="77777777" w:rsidR="007E239D" w:rsidRPr="00654988" w:rsidRDefault="007E239D" w:rsidP="00196AFC">
            <w:pPr>
              <w:rPr>
                <w:rFonts w:ascii="Arial" w:hAnsi="Arial" w:cs="Arial"/>
                <w:spacing w:val="10"/>
                <w:sz w:val="20"/>
                <w:szCs w:val="20"/>
              </w:rPr>
            </w:pPr>
            <w:r w:rsidRPr="00654988">
              <w:rPr>
                <w:rFonts w:ascii="Arial" w:hAnsi="Arial" w:cs="Arial"/>
                <w:b/>
                <w:shd w:val="clear" w:color="auto" w:fill="FFFFFF"/>
              </w:rPr>
              <w:t>ATG9A</w:t>
            </w:r>
          </w:p>
        </w:tc>
      </w:tr>
      <w:tr w:rsidR="006946FD" w:rsidRPr="00654988" w14:paraId="25073571" w14:textId="77777777" w:rsidTr="00244380">
        <w:tc>
          <w:tcPr>
            <w:tcW w:w="2972" w:type="dxa"/>
          </w:tcPr>
          <w:p w14:paraId="3BAD9454"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lastRenderedPageBreak/>
              <w:t>S18</w:t>
            </w:r>
          </w:p>
        </w:tc>
        <w:tc>
          <w:tcPr>
            <w:tcW w:w="6662" w:type="dxa"/>
            <w:gridSpan w:val="2"/>
          </w:tcPr>
          <w:p w14:paraId="0D2023B9"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7E239D" w:rsidRPr="00654988" w14:paraId="4F88CC5D" w14:textId="77777777" w:rsidTr="00244380">
        <w:tc>
          <w:tcPr>
            <w:tcW w:w="9634" w:type="dxa"/>
            <w:gridSpan w:val="3"/>
          </w:tcPr>
          <w:p w14:paraId="209A0399" w14:textId="77777777" w:rsidR="007E239D" w:rsidRPr="00654988" w:rsidRDefault="007E239D" w:rsidP="00196AFC">
            <w:pPr>
              <w:rPr>
                <w:rFonts w:ascii="Arial" w:hAnsi="Arial" w:cs="Arial"/>
                <w:spacing w:val="10"/>
              </w:rPr>
            </w:pPr>
            <w:r w:rsidRPr="00654988">
              <w:rPr>
                <w:rFonts w:ascii="Arial" w:hAnsi="Arial" w:cs="Arial"/>
                <w:b/>
                <w:shd w:val="clear" w:color="auto" w:fill="FFFFFF"/>
              </w:rPr>
              <w:t>ATG2B</w:t>
            </w:r>
          </w:p>
        </w:tc>
      </w:tr>
      <w:tr w:rsidR="006946FD" w:rsidRPr="00654988" w14:paraId="19CA72D8" w14:textId="77777777" w:rsidTr="00244380">
        <w:tc>
          <w:tcPr>
            <w:tcW w:w="2972" w:type="dxa"/>
          </w:tcPr>
          <w:p w14:paraId="4E14E613"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S239</w:t>
            </w:r>
          </w:p>
        </w:tc>
        <w:tc>
          <w:tcPr>
            <w:tcW w:w="6662" w:type="dxa"/>
            <w:gridSpan w:val="2"/>
          </w:tcPr>
          <w:p w14:paraId="12CB3C06"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47B9B91" w14:textId="77777777" w:rsidTr="00244380">
        <w:tc>
          <w:tcPr>
            <w:tcW w:w="2972" w:type="dxa"/>
          </w:tcPr>
          <w:p w14:paraId="06A498F2"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S240</w:t>
            </w:r>
          </w:p>
        </w:tc>
        <w:tc>
          <w:tcPr>
            <w:tcW w:w="6662" w:type="dxa"/>
            <w:gridSpan w:val="2"/>
          </w:tcPr>
          <w:p w14:paraId="738C3289"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71BB90FC" w14:textId="77777777" w:rsidTr="00244380">
        <w:tc>
          <w:tcPr>
            <w:tcW w:w="2972" w:type="dxa"/>
          </w:tcPr>
          <w:p w14:paraId="750BF5CB"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S255</w:t>
            </w:r>
          </w:p>
        </w:tc>
        <w:tc>
          <w:tcPr>
            <w:tcW w:w="6662" w:type="dxa"/>
            <w:gridSpan w:val="2"/>
          </w:tcPr>
          <w:p w14:paraId="66E17111"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2440AB87" w14:textId="77777777" w:rsidTr="00244380">
        <w:tc>
          <w:tcPr>
            <w:tcW w:w="2972" w:type="dxa"/>
          </w:tcPr>
          <w:p w14:paraId="43B5FE65"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S379</w:t>
            </w:r>
          </w:p>
        </w:tc>
        <w:tc>
          <w:tcPr>
            <w:tcW w:w="6662" w:type="dxa"/>
            <w:gridSpan w:val="2"/>
          </w:tcPr>
          <w:p w14:paraId="37ED436E"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3567028" w14:textId="77777777" w:rsidTr="00244380">
        <w:tc>
          <w:tcPr>
            <w:tcW w:w="2972" w:type="dxa"/>
          </w:tcPr>
          <w:p w14:paraId="60012857"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T398</w:t>
            </w:r>
          </w:p>
        </w:tc>
        <w:tc>
          <w:tcPr>
            <w:tcW w:w="6662" w:type="dxa"/>
            <w:gridSpan w:val="2"/>
          </w:tcPr>
          <w:p w14:paraId="27758AB1"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38AAB5A4" w14:textId="77777777" w:rsidTr="00244380">
        <w:tc>
          <w:tcPr>
            <w:tcW w:w="2972" w:type="dxa"/>
          </w:tcPr>
          <w:p w14:paraId="06198FCB"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S401</w:t>
            </w:r>
          </w:p>
        </w:tc>
        <w:tc>
          <w:tcPr>
            <w:tcW w:w="6662" w:type="dxa"/>
            <w:gridSpan w:val="2"/>
          </w:tcPr>
          <w:p w14:paraId="1DAE0962" w14:textId="77777777" w:rsidR="006946FD" w:rsidRPr="00654988" w:rsidRDefault="006946FD" w:rsidP="006946FD">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1242D8B2" w14:textId="77777777" w:rsidTr="00244380">
        <w:tc>
          <w:tcPr>
            <w:tcW w:w="2972" w:type="dxa"/>
          </w:tcPr>
          <w:p w14:paraId="08072189"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S484</w:t>
            </w:r>
          </w:p>
        </w:tc>
        <w:tc>
          <w:tcPr>
            <w:tcW w:w="6662" w:type="dxa"/>
            <w:gridSpan w:val="2"/>
          </w:tcPr>
          <w:p w14:paraId="149E26CA"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251D8E28" w14:textId="77777777" w:rsidTr="00244380">
        <w:tc>
          <w:tcPr>
            <w:tcW w:w="2972" w:type="dxa"/>
          </w:tcPr>
          <w:p w14:paraId="297FD8D1"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S494</w:t>
            </w:r>
          </w:p>
        </w:tc>
        <w:tc>
          <w:tcPr>
            <w:tcW w:w="6662" w:type="dxa"/>
            <w:gridSpan w:val="2"/>
          </w:tcPr>
          <w:p w14:paraId="28AD8D96"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381D87E" w14:textId="77777777" w:rsidTr="00244380">
        <w:tc>
          <w:tcPr>
            <w:tcW w:w="2972" w:type="dxa"/>
          </w:tcPr>
          <w:p w14:paraId="79E36620"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S885</w:t>
            </w:r>
          </w:p>
        </w:tc>
        <w:tc>
          <w:tcPr>
            <w:tcW w:w="6662" w:type="dxa"/>
            <w:gridSpan w:val="2"/>
          </w:tcPr>
          <w:p w14:paraId="23D1D269"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4198273F" w14:textId="77777777" w:rsidTr="00244380">
        <w:tc>
          <w:tcPr>
            <w:tcW w:w="2972" w:type="dxa"/>
          </w:tcPr>
          <w:p w14:paraId="675B2526"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S1395</w:t>
            </w:r>
          </w:p>
        </w:tc>
        <w:tc>
          <w:tcPr>
            <w:tcW w:w="6662" w:type="dxa"/>
            <w:gridSpan w:val="2"/>
          </w:tcPr>
          <w:p w14:paraId="2EAD18AB"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634F9868" w14:textId="77777777" w:rsidTr="00244380">
        <w:tc>
          <w:tcPr>
            <w:tcW w:w="2972" w:type="dxa"/>
          </w:tcPr>
          <w:p w14:paraId="05266E89"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T1570</w:t>
            </w:r>
          </w:p>
        </w:tc>
        <w:tc>
          <w:tcPr>
            <w:tcW w:w="6662" w:type="dxa"/>
            <w:gridSpan w:val="2"/>
          </w:tcPr>
          <w:p w14:paraId="2E6B3EA9" w14:textId="77777777" w:rsidR="006946FD" w:rsidRPr="00654988" w:rsidRDefault="006946FD" w:rsidP="006946FD">
            <w:pPr>
              <w:pStyle w:val="ListParagraph"/>
              <w:numPr>
                <w:ilvl w:val="0"/>
                <w:numId w:val="17"/>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Novel, no reference found</w:t>
            </w:r>
          </w:p>
        </w:tc>
      </w:tr>
      <w:tr w:rsidR="006946FD" w:rsidRPr="00654988" w14:paraId="787E7341" w14:textId="77777777" w:rsidTr="00244380">
        <w:tc>
          <w:tcPr>
            <w:tcW w:w="2972" w:type="dxa"/>
          </w:tcPr>
          <w:p w14:paraId="7F96C4C4"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S1571</w:t>
            </w:r>
          </w:p>
        </w:tc>
        <w:tc>
          <w:tcPr>
            <w:tcW w:w="6662" w:type="dxa"/>
            <w:gridSpan w:val="2"/>
          </w:tcPr>
          <w:p w14:paraId="56077E20"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r w:rsidR="006946FD" w:rsidRPr="00654988" w14:paraId="72B5A1C0" w14:textId="77777777" w:rsidTr="00244380">
        <w:tc>
          <w:tcPr>
            <w:tcW w:w="2972" w:type="dxa"/>
          </w:tcPr>
          <w:p w14:paraId="26187874" w14:textId="77777777" w:rsidR="006946FD" w:rsidRPr="00654988" w:rsidRDefault="006946FD" w:rsidP="006946FD">
            <w:pPr>
              <w:rPr>
                <w:rFonts w:ascii="Arial" w:hAnsi="Arial" w:cs="Arial"/>
                <w:sz w:val="20"/>
                <w:szCs w:val="20"/>
                <w:shd w:val="clear" w:color="auto" w:fill="FFFFFF"/>
              </w:rPr>
            </w:pPr>
            <w:r w:rsidRPr="00654988">
              <w:rPr>
                <w:rFonts w:ascii="Arial" w:hAnsi="Arial" w:cs="Arial"/>
                <w:sz w:val="20"/>
                <w:szCs w:val="20"/>
                <w:shd w:val="clear" w:color="auto" w:fill="FFFFFF"/>
              </w:rPr>
              <w:t>S1741</w:t>
            </w:r>
          </w:p>
        </w:tc>
        <w:tc>
          <w:tcPr>
            <w:tcW w:w="6662" w:type="dxa"/>
            <w:gridSpan w:val="2"/>
          </w:tcPr>
          <w:p w14:paraId="13D1CD17" w14:textId="77777777" w:rsidR="006946FD" w:rsidRPr="00654988" w:rsidRDefault="006946FD" w:rsidP="006946FD">
            <w:pPr>
              <w:pStyle w:val="ListParagraph"/>
              <w:numPr>
                <w:ilvl w:val="0"/>
                <w:numId w:val="19"/>
              </w:numPr>
              <w:ind w:left="357" w:hanging="357"/>
              <w:rPr>
                <w:rFonts w:ascii="Arial" w:hAnsi="Arial" w:cs="Arial"/>
                <w:sz w:val="20"/>
                <w:szCs w:val="20"/>
                <w:shd w:val="clear" w:color="auto" w:fill="FFFFFF"/>
              </w:rPr>
            </w:pPr>
            <w:r w:rsidRPr="00654988">
              <w:rPr>
                <w:rFonts w:ascii="Arial" w:hAnsi="Arial" w:cs="Arial"/>
                <w:sz w:val="20"/>
                <w:szCs w:val="20"/>
                <w:shd w:val="clear" w:color="auto" w:fill="FFFFFF"/>
              </w:rPr>
              <w:t>N/A, not novel</w:t>
            </w:r>
          </w:p>
        </w:tc>
      </w:tr>
    </w:tbl>
    <w:p w14:paraId="3D0B3E02" w14:textId="77777777" w:rsidR="00631136" w:rsidRPr="00654988" w:rsidRDefault="00631136">
      <w:pPr>
        <w:rPr>
          <w:rFonts w:ascii="Arial" w:hAnsi="Arial" w:cs="Arial"/>
          <w:sz w:val="20"/>
          <w:szCs w:val="20"/>
        </w:rPr>
      </w:pPr>
    </w:p>
    <w:p w14:paraId="7356A4EC" w14:textId="77777777" w:rsidR="00AE65AF" w:rsidRPr="00654988" w:rsidRDefault="006946FD">
      <w:pPr>
        <w:rPr>
          <w:rFonts w:ascii="Arial" w:hAnsi="Arial" w:cs="Arial"/>
          <w:b/>
        </w:rPr>
      </w:pPr>
      <w:r w:rsidRPr="00654988">
        <w:rPr>
          <w:rFonts w:ascii="Arial" w:hAnsi="Arial" w:cs="Arial"/>
          <w:b/>
        </w:rPr>
        <w:t>References</w:t>
      </w:r>
    </w:p>
    <w:p w14:paraId="5E01D58A" w14:textId="77777777" w:rsidR="00AE65AF" w:rsidRPr="00654988" w:rsidRDefault="00AE65AF">
      <w:pPr>
        <w:rPr>
          <w:rFonts w:ascii="Arial" w:hAnsi="Arial" w:cs="Arial"/>
          <w:sz w:val="20"/>
          <w:szCs w:val="20"/>
        </w:rPr>
      </w:pPr>
    </w:p>
    <w:p w14:paraId="15324823" w14:textId="77777777" w:rsidR="008255B7" w:rsidRPr="008255B7" w:rsidRDefault="00A073A9" w:rsidP="008255B7">
      <w:pPr>
        <w:pStyle w:val="Bibliography"/>
        <w:rPr>
          <w:rFonts w:ascii="Arial" w:hAnsi="Arial" w:cs="Arial"/>
          <w:sz w:val="20"/>
        </w:rPr>
      </w:pPr>
      <w:r>
        <w:rPr>
          <w:rFonts w:ascii="Arial" w:eastAsiaTheme="minorHAnsi" w:hAnsi="Arial" w:cs="Arial"/>
          <w:sz w:val="20"/>
          <w:szCs w:val="20"/>
        </w:rPr>
        <w:fldChar w:fldCharType="begin"/>
      </w:r>
      <w:r w:rsidR="008255B7">
        <w:rPr>
          <w:rFonts w:ascii="Arial" w:eastAsiaTheme="minorHAnsi" w:hAnsi="Arial" w:cs="Arial"/>
          <w:sz w:val="20"/>
          <w:szCs w:val="20"/>
        </w:rPr>
        <w:instrText xml:space="preserve"> ADDIN ZOTERO_BIBL {"uncited":[],"omitted":[],"custom":[]} CSL_BIBLIOGRAPHY </w:instrText>
      </w:r>
      <w:r>
        <w:rPr>
          <w:rFonts w:ascii="Arial" w:eastAsiaTheme="minorHAnsi" w:hAnsi="Arial" w:cs="Arial"/>
          <w:sz w:val="20"/>
          <w:szCs w:val="20"/>
        </w:rPr>
        <w:fldChar w:fldCharType="separate"/>
      </w:r>
      <w:r w:rsidR="008255B7" w:rsidRPr="008255B7">
        <w:rPr>
          <w:rFonts w:ascii="Arial" w:hAnsi="Arial" w:cs="Arial"/>
          <w:sz w:val="20"/>
        </w:rPr>
        <w:t xml:space="preserve">Alsaadi, R.M., Losier, T.T., Tian, W., Jackson, A., Guo, Z., Rubinsztein, D.C., and Russell, R.C. (2019). ULK1-mediated phosphorylation of ATG16L1 promotes xenophagy, but destabilizes the ATG16L1 Crohn’s mutant. EMBO Rep. </w:t>
      </w:r>
      <w:r w:rsidR="008255B7" w:rsidRPr="008255B7">
        <w:rPr>
          <w:rFonts w:ascii="Arial" w:hAnsi="Arial" w:cs="Arial"/>
          <w:i/>
          <w:iCs/>
          <w:sz w:val="20"/>
        </w:rPr>
        <w:t>20</w:t>
      </w:r>
      <w:r w:rsidR="008255B7" w:rsidRPr="008255B7">
        <w:rPr>
          <w:rFonts w:ascii="Arial" w:hAnsi="Arial" w:cs="Arial"/>
          <w:sz w:val="20"/>
        </w:rPr>
        <w:t>, e46885.</w:t>
      </w:r>
    </w:p>
    <w:p w14:paraId="45062E0C"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Diamanti, M.A., Gupta, J., Bennecke, M., De Oliveira, T., Ramakrishnan, M., Braczynski, A.K., Richter, B., Beli, P., Hu, Y., Saleh, M., et al. (2017). IKKα controls ATG16L1 degradation to prevent ER stress during inflammation. J. Exp. Med. </w:t>
      </w:r>
      <w:r w:rsidRPr="008255B7">
        <w:rPr>
          <w:rFonts w:ascii="Arial" w:hAnsi="Arial" w:cs="Arial"/>
          <w:i/>
          <w:iCs/>
          <w:sz w:val="20"/>
        </w:rPr>
        <w:t>214</w:t>
      </w:r>
      <w:r w:rsidRPr="008255B7">
        <w:rPr>
          <w:rFonts w:ascii="Arial" w:hAnsi="Arial" w:cs="Arial"/>
          <w:sz w:val="20"/>
        </w:rPr>
        <w:t>, 423–437.</w:t>
      </w:r>
    </w:p>
    <w:p w14:paraId="19215934"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Feng, X., Jia, Y., Zhang, Y., Ma, F., Zhu, Y., Hong, X., Zhou, Q., He, R., Zhang, H., Jin, J., et al. (2019). Ubiquitination of UVRAG by SMURF1 promotes autophagosome maturation and inhibits hepatocellular carcinoma growth. Autophagy </w:t>
      </w:r>
      <w:r w:rsidRPr="008255B7">
        <w:rPr>
          <w:rFonts w:ascii="Arial" w:hAnsi="Arial" w:cs="Arial"/>
          <w:i/>
          <w:iCs/>
          <w:sz w:val="20"/>
        </w:rPr>
        <w:t>15</w:t>
      </w:r>
      <w:r w:rsidRPr="008255B7">
        <w:rPr>
          <w:rFonts w:ascii="Arial" w:hAnsi="Arial" w:cs="Arial"/>
          <w:sz w:val="20"/>
        </w:rPr>
        <w:t>, 1130–1149.</w:t>
      </w:r>
    </w:p>
    <w:p w14:paraId="2F67E760" w14:textId="77777777" w:rsidR="008255B7" w:rsidRPr="008255B7" w:rsidRDefault="008255B7" w:rsidP="008255B7">
      <w:pPr>
        <w:pStyle w:val="Bibliography"/>
        <w:rPr>
          <w:rFonts w:ascii="Arial" w:hAnsi="Arial" w:cs="Arial"/>
          <w:sz w:val="20"/>
        </w:rPr>
      </w:pPr>
      <w:r w:rsidRPr="008255B7">
        <w:rPr>
          <w:rFonts w:ascii="Arial" w:hAnsi="Arial" w:cs="Arial"/>
          <w:sz w:val="20"/>
        </w:rPr>
        <w:t>Gleason, C.E., Ordureau, A., Gourlay, R., Arthur, J.S.C., and Cohen, P. (2011). Polyubiquitin binding to optineurin is required for optimal activation of TANK-binding kinase 1 and the production of interferon β. J. Biol. Chem. jbc.M111.267567.</w:t>
      </w:r>
    </w:p>
    <w:p w14:paraId="40240C4A"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Heo, J.-M., Ordureau, A., Paulo, J.A., Rinehart, J., and Harper, J.W. (2015). The PINK1-PARKIN Mitochondrial Ubiquitylation Pathway Drives a Program of OPTN/NDP52 Recruitment and TBK1 Activation to Promote Mitophagy. Mol. Cell </w:t>
      </w:r>
      <w:r w:rsidRPr="008255B7">
        <w:rPr>
          <w:rFonts w:ascii="Arial" w:hAnsi="Arial" w:cs="Arial"/>
          <w:i/>
          <w:iCs/>
          <w:sz w:val="20"/>
        </w:rPr>
        <w:t>60</w:t>
      </w:r>
      <w:r w:rsidRPr="008255B7">
        <w:rPr>
          <w:rFonts w:ascii="Arial" w:hAnsi="Arial" w:cs="Arial"/>
          <w:sz w:val="20"/>
        </w:rPr>
        <w:t>, 7–20.</w:t>
      </w:r>
    </w:p>
    <w:p w14:paraId="41F8587C"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Hong-Brown, L.Q., Brown, C.R., Navaratnarajah, M., and Lang, C.H. (2017). FOXO1-AMPK-ULK1 Regulates Ethanol-induced Autophagy in Muscle by Enhanced ATG14 Association with the BECN1-PIK3C3 Complex. Alcohol. Clin. Exp. Res. </w:t>
      </w:r>
      <w:r w:rsidRPr="008255B7">
        <w:rPr>
          <w:rFonts w:ascii="Arial" w:hAnsi="Arial" w:cs="Arial"/>
          <w:i/>
          <w:iCs/>
          <w:sz w:val="20"/>
        </w:rPr>
        <w:t>41</w:t>
      </w:r>
      <w:r w:rsidRPr="008255B7">
        <w:rPr>
          <w:rFonts w:ascii="Arial" w:hAnsi="Arial" w:cs="Arial"/>
          <w:sz w:val="20"/>
        </w:rPr>
        <w:t>, 895–910.</w:t>
      </w:r>
    </w:p>
    <w:p w14:paraId="6F677292"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Hu, L., Xie, H., Liu, X., Potjewyd, F., James, L.I., Wilkerson, E.M., Herring, L.E., Xie, L., Chen, X., Cabrera, J.C., et al. (2020). TBK1 Is a Synthetic Lethal Target in Cancer with VHL Loss. Cancer Discov. </w:t>
      </w:r>
      <w:r w:rsidRPr="008255B7">
        <w:rPr>
          <w:rFonts w:ascii="Arial" w:hAnsi="Arial" w:cs="Arial"/>
          <w:i/>
          <w:iCs/>
          <w:sz w:val="20"/>
        </w:rPr>
        <w:t>10</w:t>
      </w:r>
      <w:r w:rsidRPr="008255B7">
        <w:rPr>
          <w:rFonts w:ascii="Arial" w:hAnsi="Arial" w:cs="Arial"/>
          <w:sz w:val="20"/>
        </w:rPr>
        <w:t>, 460–475.</w:t>
      </w:r>
    </w:p>
    <w:p w14:paraId="6EA34FF6"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Kim, J., Kim, Y.C., Fang, C., Russell, R.C., Kim, J.H., Fan, W., Liu, R., Zhong, Q., and Guan, K.-L. (2013). Differential Regulation of Distinct Vps34 Complexes by AMPK in Nutrient Stress and Autophagy. Cell </w:t>
      </w:r>
      <w:r w:rsidRPr="008255B7">
        <w:rPr>
          <w:rFonts w:ascii="Arial" w:hAnsi="Arial" w:cs="Arial"/>
          <w:i/>
          <w:iCs/>
          <w:sz w:val="20"/>
        </w:rPr>
        <w:t>152</w:t>
      </w:r>
      <w:r w:rsidRPr="008255B7">
        <w:rPr>
          <w:rFonts w:ascii="Arial" w:hAnsi="Arial" w:cs="Arial"/>
          <w:sz w:val="20"/>
        </w:rPr>
        <w:t>, 290–303.</w:t>
      </w:r>
    </w:p>
    <w:p w14:paraId="0A3F7334"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Kim, Y.-M., Jung, C.H., Seo, M., Kim, E.K., Park, J.-M., Bae, S.S., and Kim, D.-H. (2015). mTORC1 Phosphorylates UVRAG to Negatively Regulate Autophagosome and Endosome Maturation. Mol. Cell </w:t>
      </w:r>
      <w:r w:rsidRPr="008255B7">
        <w:rPr>
          <w:rFonts w:ascii="Arial" w:hAnsi="Arial" w:cs="Arial"/>
          <w:i/>
          <w:iCs/>
          <w:sz w:val="20"/>
        </w:rPr>
        <w:t>57</w:t>
      </w:r>
      <w:r w:rsidRPr="008255B7">
        <w:rPr>
          <w:rFonts w:ascii="Arial" w:hAnsi="Arial" w:cs="Arial"/>
          <w:sz w:val="20"/>
        </w:rPr>
        <w:t>, 207–218.</w:t>
      </w:r>
    </w:p>
    <w:p w14:paraId="3F33357B" w14:textId="77777777" w:rsidR="008255B7" w:rsidRPr="008255B7" w:rsidRDefault="008255B7" w:rsidP="008255B7">
      <w:pPr>
        <w:pStyle w:val="Bibliography"/>
        <w:rPr>
          <w:rFonts w:ascii="Arial" w:hAnsi="Arial" w:cs="Arial"/>
          <w:sz w:val="20"/>
        </w:rPr>
      </w:pPr>
      <w:r w:rsidRPr="008255B7">
        <w:rPr>
          <w:rFonts w:ascii="Arial" w:hAnsi="Arial" w:cs="Arial"/>
          <w:sz w:val="20"/>
        </w:rPr>
        <w:lastRenderedPageBreak/>
        <w:t xml:space="preserve">Lazarou, M., Sliter, D.A., Kane, L.A., Sarraf, S.A., Wang, C., Burman, J.L., Sideris, D.P., Fogel, A.I., and Youle, R.J. (2015). The ubiquitin kinase PINK1 recruits autophagy receptors to induce mitophagy. Nature </w:t>
      </w:r>
      <w:r w:rsidRPr="008255B7">
        <w:rPr>
          <w:rFonts w:ascii="Arial" w:hAnsi="Arial" w:cs="Arial"/>
          <w:i/>
          <w:iCs/>
          <w:sz w:val="20"/>
        </w:rPr>
        <w:t>524</w:t>
      </w:r>
      <w:r w:rsidRPr="008255B7">
        <w:rPr>
          <w:rFonts w:ascii="Arial" w:hAnsi="Arial" w:cs="Arial"/>
          <w:sz w:val="20"/>
        </w:rPr>
        <w:t>, 309–314.</w:t>
      </w:r>
    </w:p>
    <w:p w14:paraId="2A97943D"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Lee, Y., Chou, T.-F., Pittman, S.K., Keith, A.L., Razani, B., and Weihl, C.C. (2017). Keap1/Cullin3 Modulates p62/SQSTM1 Activity via UBA Domain Ubiquitination. Cell Rep. </w:t>
      </w:r>
      <w:r w:rsidRPr="008255B7">
        <w:rPr>
          <w:rFonts w:ascii="Arial" w:hAnsi="Arial" w:cs="Arial"/>
          <w:i/>
          <w:iCs/>
          <w:sz w:val="20"/>
        </w:rPr>
        <w:t>19</w:t>
      </w:r>
      <w:r w:rsidRPr="008255B7">
        <w:rPr>
          <w:rFonts w:ascii="Arial" w:hAnsi="Arial" w:cs="Arial"/>
          <w:sz w:val="20"/>
        </w:rPr>
        <w:t>, 188–202.</w:t>
      </w:r>
    </w:p>
    <w:p w14:paraId="141EB8DC"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Linares, J.F., Amanchy, R., Greis, K., Diaz-Meco, M.T., and Moscat, J. (2011). Phosphorylation of p62 by cdk1 Controls the Timely Transit of Cells through Mitosis and Tumor Cell Proliferation. Mol. Cell. Biol. </w:t>
      </w:r>
      <w:r w:rsidRPr="008255B7">
        <w:rPr>
          <w:rFonts w:ascii="Arial" w:hAnsi="Arial" w:cs="Arial"/>
          <w:i/>
          <w:iCs/>
          <w:sz w:val="20"/>
        </w:rPr>
        <w:t>31</w:t>
      </w:r>
      <w:r w:rsidRPr="008255B7">
        <w:rPr>
          <w:rFonts w:ascii="Arial" w:hAnsi="Arial" w:cs="Arial"/>
          <w:sz w:val="20"/>
        </w:rPr>
        <w:t>, 2171–2171.</w:t>
      </w:r>
    </w:p>
    <w:p w14:paraId="79A69B72"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Linares, J.F., Duran, A., Reina-Campos, M., Aza-Blanc, P., Campos, A., Moscat, J., and Diaz-Meco, M.T. (2015). Amino Acid Activation of mTORC1 by a PB1-Domain-Driven Kinase Complex Cascade. Cell Rep. </w:t>
      </w:r>
      <w:r w:rsidRPr="008255B7">
        <w:rPr>
          <w:rFonts w:ascii="Arial" w:hAnsi="Arial" w:cs="Arial"/>
          <w:i/>
          <w:iCs/>
          <w:sz w:val="20"/>
        </w:rPr>
        <w:t>12</w:t>
      </w:r>
      <w:r w:rsidRPr="008255B7">
        <w:rPr>
          <w:rFonts w:ascii="Arial" w:hAnsi="Arial" w:cs="Arial"/>
          <w:sz w:val="20"/>
        </w:rPr>
        <w:t>, 1339–1352.</w:t>
      </w:r>
    </w:p>
    <w:p w14:paraId="07A66837"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Moore, A.S., and Holzbaur, E.L.F. (2016). Dynamic recruitment and activation of ALS-associated TBK1 with its target optineurin are required for efficient mitophagy. Proc. Natl. Acad. Sci. U. S. A. </w:t>
      </w:r>
      <w:r w:rsidRPr="008255B7">
        <w:rPr>
          <w:rFonts w:ascii="Arial" w:hAnsi="Arial" w:cs="Arial"/>
          <w:i/>
          <w:iCs/>
          <w:sz w:val="20"/>
        </w:rPr>
        <w:t>113</w:t>
      </w:r>
      <w:r w:rsidRPr="008255B7">
        <w:rPr>
          <w:rFonts w:ascii="Arial" w:hAnsi="Arial" w:cs="Arial"/>
          <w:sz w:val="20"/>
        </w:rPr>
        <w:t>, E3349-3358.</w:t>
      </w:r>
    </w:p>
    <w:p w14:paraId="15F8CCF1"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Richter, B., Sliter, D.A., Herhaus, L., Stolz, A., Wang, C., Beli, P., Zaffagnini, G., Wild, P., Martens, S., Wagner, S.A., et al. (2016). Phosphorylation of OPTN by TBK1 enhances its binding to Ub chains and promotes selective autophagy of damaged mitochondria. Proc. Natl. Acad. Sci. </w:t>
      </w:r>
      <w:r w:rsidRPr="008255B7">
        <w:rPr>
          <w:rFonts w:ascii="Arial" w:hAnsi="Arial" w:cs="Arial"/>
          <w:i/>
          <w:iCs/>
          <w:sz w:val="20"/>
        </w:rPr>
        <w:t>113</w:t>
      </w:r>
      <w:r w:rsidRPr="008255B7">
        <w:rPr>
          <w:rFonts w:ascii="Arial" w:hAnsi="Arial" w:cs="Arial"/>
          <w:sz w:val="20"/>
        </w:rPr>
        <w:t>, 4039–4044.</w:t>
      </w:r>
    </w:p>
    <w:p w14:paraId="04DAED8E"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Shembade, N., Pujari, R., Harhaj, N.S., Abbott, D.W., and Harhaj, E.W. (2011). The kinase IKKα inhibits activation of the transcription factor NF-κB by phosphorylating the regulatory molecule TAX1BP1. Nat. Immunol. </w:t>
      </w:r>
      <w:r w:rsidRPr="008255B7">
        <w:rPr>
          <w:rFonts w:ascii="Arial" w:hAnsi="Arial" w:cs="Arial"/>
          <w:i/>
          <w:iCs/>
          <w:sz w:val="20"/>
        </w:rPr>
        <w:t>12</w:t>
      </w:r>
      <w:r w:rsidRPr="008255B7">
        <w:rPr>
          <w:rFonts w:ascii="Arial" w:hAnsi="Arial" w:cs="Arial"/>
          <w:sz w:val="20"/>
        </w:rPr>
        <w:t>, 834–843.</w:t>
      </w:r>
    </w:p>
    <w:p w14:paraId="5DD8164F"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Song, P., Li, S., Wu, H., Gao, R., Rao, G., Wang, D., Chen, Z., Ma, B., Wang, H., Sui, N., et al. (2016). Parkin promotes proteasomal degradation of p62: implication of selective vulnerability of neuronal cells in the pathogenesis of Parkinson’s disease. Protein Cell </w:t>
      </w:r>
      <w:r w:rsidRPr="008255B7">
        <w:rPr>
          <w:rFonts w:ascii="Arial" w:hAnsi="Arial" w:cs="Arial"/>
          <w:i/>
          <w:iCs/>
          <w:sz w:val="20"/>
        </w:rPr>
        <w:t>7</w:t>
      </w:r>
      <w:r w:rsidRPr="008255B7">
        <w:rPr>
          <w:rFonts w:ascii="Arial" w:hAnsi="Arial" w:cs="Arial"/>
          <w:sz w:val="20"/>
        </w:rPr>
        <w:t>, 114–129.</w:t>
      </w:r>
    </w:p>
    <w:p w14:paraId="45DCB79B"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Tao, Z., Barker, J., Shi, S.D.-H., Gehring, M., and Sun, S. (2010). Steady-State Kinetic and Inhibition Studies of the Mammalian Target of Rapamycin (mTOR) Kinase Domain and mTOR Complexes. Biochemistry </w:t>
      </w:r>
      <w:r w:rsidRPr="008255B7">
        <w:rPr>
          <w:rFonts w:ascii="Arial" w:hAnsi="Arial" w:cs="Arial"/>
          <w:i/>
          <w:iCs/>
          <w:sz w:val="20"/>
        </w:rPr>
        <w:t>49</w:t>
      </w:r>
      <w:r w:rsidRPr="008255B7">
        <w:rPr>
          <w:rFonts w:ascii="Arial" w:hAnsi="Arial" w:cs="Arial"/>
          <w:sz w:val="20"/>
        </w:rPr>
        <w:t>, 8488–8498.</w:t>
      </w:r>
    </w:p>
    <w:p w14:paraId="3F7C8628"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Wen, Y., Graybill, W.S., Previs, R.A., Hu, W., Ivan, C., Mangala, L.S., Zand, B., Nick, A.M., Jennings, N.B., Dalton, H.J., et al. (2015). Immunotherapy targeting folate receptor induces cell death associated with autophagy in ovarian cancer. Clin. Cancer Res. Off. J. Am. Assoc. Cancer Res. </w:t>
      </w:r>
      <w:r w:rsidRPr="008255B7">
        <w:rPr>
          <w:rFonts w:ascii="Arial" w:hAnsi="Arial" w:cs="Arial"/>
          <w:i/>
          <w:iCs/>
          <w:sz w:val="20"/>
        </w:rPr>
        <w:t>21</w:t>
      </w:r>
      <w:r w:rsidRPr="008255B7">
        <w:rPr>
          <w:rFonts w:ascii="Arial" w:hAnsi="Arial" w:cs="Arial"/>
          <w:sz w:val="20"/>
        </w:rPr>
        <w:t>, 448–459.</w:t>
      </w:r>
    </w:p>
    <w:p w14:paraId="273385FF"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Wild, P., Farhan, H., McEwan, D.G., Wagner, S., Rogov, V.V., Brady, N.R., Richter, B., Korac, J., Waidmann, O., Choudhary, C., et al. (2011). Phosphorylation of the Autophagy Receptor Optineurin Restricts Salmonella Growth. Science </w:t>
      </w:r>
      <w:r w:rsidRPr="008255B7">
        <w:rPr>
          <w:rFonts w:ascii="Arial" w:hAnsi="Arial" w:cs="Arial"/>
          <w:i/>
          <w:iCs/>
          <w:sz w:val="20"/>
        </w:rPr>
        <w:t>333</w:t>
      </w:r>
      <w:r w:rsidRPr="008255B7">
        <w:rPr>
          <w:rFonts w:ascii="Arial" w:hAnsi="Arial" w:cs="Arial"/>
          <w:sz w:val="20"/>
        </w:rPr>
        <w:t>, 228–233.</w:t>
      </w:r>
    </w:p>
    <w:p w14:paraId="7EA85CD4" w14:textId="77777777" w:rsidR="008255B7" w:rsidRPr="008255B7" w:rsidRDefault="008255B7" w:rsidP="008255B7">
      <w:pPr>
        <w:pStyle w:val="Bibliography"/>
        <w:rPr>
          <w:rFonts w:ascii="Arial" w:hAnsi="Arial" w:cs="Arial"/>
          <w:sz w:val="20"/>
        </w:rPr>
      </w:pPr>
      <w:r w:rsidRPr="008255B7">
        <w:rPr>
          <w:rFonts w:ascii="Arial" w:hAnsi="Arial" w:cs="Arial"/>
          <w:sz w:val="20"/>
        </w:rPr>
        <w:t xml:space="preserve">Xu, D., Li, X., Shao, F., Lv, G., Lv, H., Lee, J.-H., Qian, X., Wang, Z., Xia, Y., Du, L., et al. (2019). The protein kinase activity of fructokinase A specifies the antioxidant responses of tumor cells by phosphorylating p62. Sci. Adv. </w:t>
      </w:r>
      <w:r w:rsidRPr="008255B7">
        <w:rPr>
          <w:rFonts w:ascii="Arial" w:hAnsi="Arial" w:cs="Arial"/>
          <w:i/>
          <w:iCs/>
          <w:sz w:val="20"/>
        </w:rPr>
        <w:t>5</w:t>
      </w:r>
      <w:r w:rsidRPr="008255B7">
        <w:rPr>
          <w:rFonts w:ascii="Arial" w:hAnsi="Arial" w:cs="Arial"/>
          <w:sz w:val="20"/>
        </w:rPr>
        <w:t>, eaav4570.</w:t>
      </w:r>
    </w:p>
    <w:p w14:paraId="3F92C360" w14:textId="1BFE1F03" w:rsidR="00AE65AF" w:rsidRPr="00654988" w:rsidRDefault="00A073A9" w:rsidP="00A07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Theme="minorHAnsi" w:hAnsi="Arial" w:cs="Arial"/>
          <w:sz w:val="20"/>
          <w:szCs w:val="20"/>
        </w:rPr>
      </w:pPr>
      <w:r>
        <w:rPr>
          <w:rFonts w:ascii="Arial" w:eastAsiaTheme="minorHAnsi" w:hAnsi="Arial" w:cs="Arial"/>
          <w:sz w:val="20"/>
          <w:szCs w:val="20"/>
        </w:rPr>
        <w:fldChar w:fldCharType="end"/>
      </w:r>
    </w:p>
    <w:p w14:paraId="7C5E1416" w14:textId="77777777" w:rsidR="006946FD" w:rsidRPr="00654988" w:rsidRDefault="00AE65AF">
      <w:pPr>
        <w:rPr>
          <w:rFonts w:ascii="Arial" w:hAnsi="Arial" w:cs="Arial"/>
          <w:sz w:val="20"/>
          <w:szCs w:val="20"/>
        </w:rPr>
      </w:pPr>
      <w:r w:rsidRPr="00654988">
        <w:rPr>
          <w:rFonts w:ascii="Arial" w:hAnsi="Arial" w:cs="Arial"/>
          <w:sz w:val="20"/>
          <w:szCs w:val="20"/>
        </w:rPr>
        <w:fldChar w:fldCharType="begin"/>
      </w:r>
      <w:r w:rsidRPr="00654988">
        <w:rPr>
          <w:rFonts w:ascii="Arial" w:hAnsi="Arial" w:cs="Arial"/>
          <w:sz w:val="20"/>
          <w:szCs w:val="20"/>
        </w:rPr>
        <w:instrText xml:space="preserve"> ADDIN PAPERS2_CITATIONS &lt;papers2_bibliography/&gt;</w:instrText>
      </w:r>
      <w:r w:rsidRPr="00654988">
        <w:rPr>
          <w:rFonts w:ascii="Arial" w:hAnsi="Arial" w:cs="Arial"/>
          <w:sz w:val="20"/>
          <w:szCs w:val="20"/>
        </w:rPr>
        <w:fldChar w:fldCharType="end"/>
      </w:r>
    </w:p>
    <w:sectPr w:rsidR="006946FD" w:rsidRPr="00654988" w:rsidSect="00D356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AFD2" w14:textId="77777777" w:rsidR="00F71DE6" w:rsidRDefault="00F71DE6" w:rsidP="00BE27B5">
      <w:r>
        <w:separator/>
      </w:r>
    </w:p>
  </w:endnote>
  <w:endnote w:type="continuationSeparator" w:id="0">
    <w:p w14:paraId="5F32BA8D" w14:textId="77777777" w:rsidR="00F71DE6" w:rsidRDefault="00F71DE6" w:rsidP="00B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B2CF" w14:textId="77777777" w:rsidR="00F71DE6" w:rsidRDefault="00F71DE6" w:rsidP="00BE27B5">
      <w:r>
        <w:separator/>
      </w:r>
    </w:p>
  </w:footnote>
  <w:footnote w:type="continuationSeparator" w:id="0">
    <w:p w14:paraId="62165AA5" w14:textId="77777777" w:rsidR="00F71DE6" w:rsidRDefault="00F71DE6" w:rsidP="00BE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BD0"/>
    <w:multiLevelType w:val="hybridMultilevel"/>
    <w:tmpl w:val="9EF4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71AE"/>
    <w:multiLevelType w:val="multilevel"/>
    <w:tmpl w:val="C91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71875"/>
    <w:multiLevelType w:val="hybridMultilevel"/>
    <w:tmpl w:val="0C486B84"/>
    <w:lvl w:ilvl="0" w:tplc="03DC7E0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2795"/>
    <w:multiLevelType w:val="hybridMultilevel"/>
    <w:tmpl w:val="3B2C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87924"/>
    <w:multiLevelType w:val="hybridMultilevel"/>
    <w:tmpl w:val="37A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A3AC7"/>
    <w:multiLevelType w:val="hybridMultilevel"/>
    <w:tmpl w:val="45B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4223A"/>
    <w:multiLevelType w:val="multilevel"/>
    <w:tmpl w:val="858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6AA9"/>
    <w:multiLevelType w:val="hybridMultilevel"/>
    <w:tmpl w:val="A42E0E8A"/>
    <w:lvl w:ilvl="0" w:tplc="816A3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57820"/>
    <w:multiLevelType w:val="hybridMultilevel"/>
    <w:tmpl w:val="80E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3B06"/>
    <w:multiLevelType w:val="hybridMultilevel"/>
    <w:tmpl w:val="9616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C4A45"/>
    <w:multiLevelType w:val="hybridMultilevel"/>
    <w:tmpl w:val="F29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15011"/>
    <w:multiLevelType w:val="hybridMultilevel"/>
    <w:tmpl w:val="D02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7030A"/>
    <w:multiLevelType w:val="hybridMultilevel"/>
    <w:tmpl w:val="32069FAA"/>
    <w:lvl w:ilvl="0" w:tplc="7E6A2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610D6"/>
    <w:multiLevelType w:val="hybridMultilevel"/>
    <w:tmpl w:val="72E4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EF8"/>
    <w:multiLevelType w:val="multilevel"/>
    <w:tmpl w:val="FD9A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80897"/>
    <w:multiLevelType w:val="hybridMultilevel"/>
    <w:tmpl w:val="97EE07FC"/>
    <w:lvl w:ilvl="0" w:tplc="6FB0410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2DE8"/>
    <w:multiLevelType w:val="hybridMultilevel"/>
    <w:tmpl w:val="C16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F6DD3"/>
    <w:multiLevelType w:val="hybridMultilevel"/>
    <w:tmpl w:val="7E0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5321E"/>
    <w:multiLevelType w:val="hybridMultilevel"/>
    <w:tmpl w:val="5EB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459FF"/>
    <w:multiLevelType w:val="hybridMultilevel"/>
    <w:tmpl w:val="31A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4330D"/>
    <w:multiLevelType w:val="hybridMultilevel"/>
    <w:tmpl w:val="7F32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220BA"/>
    <w:multiLevelType w:val="hybridMultilevel"/>
    <w:tmpl w:val="411AE6AC"/>
    <w:lvl w:ilvl="0" w:tplc="09043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75C99"/>
    <w:multiLevelType w:val="hybridMultilevel"/>
    <w:tmpl w:val="ABA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35196"/>
    <w:multiLevelType w:val="hybridMultilevel"/>
    <w:tmpl w:val="7FE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75B5D"/>
    <w:multiLevelType w:val="hybridMultilevel"/>
    <w:tmpl w:val="948AEC1C"/>
    <w:lvl w:ilvl="0" w:tplc="1C38F8A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7"/>
  </w:num>
  <w:num w:numId="5">
    <w:abstractNumId w:val="12"/>
  </w:num>
  <w:num w:numId="6">
    <w:abstractNumId w:val="21"/>
  </w:num>
  <w:num w:numId="7">
    <w:abstractNumId w:val="8"/>
  </w:num>
  <w:num w:numId="8">
    <w:abstractNumId w:val="0"/>
  </w:num>
  <w:num w:numId="9">
    <w:abstractNumId w:val="10"/>
  </w:num>
  <w:num w:numId="10">
    <w:abstractNumId w:val="19"/>
  </w:num>
  <w:num w:numId="11">
    <w:abstractNumId w:val="23"/>
  </w:num>
  <w:num w:numId="12">
    <w:abstractNumId w:val="3"/>
  </w:num>
  <w:num w:numId="13">
    <w:abstractNumId w:val="16"/>
  </w:num>
  <w:num w:numId="14">
    <w:abstractNumId w:val="9"/>
  </w:num>
  <w:num w:numId="15">
    <w:abstractNumId w:val="18"/>
  </w:num>
  <w:num w:numId="16">
    <w:abstractNumId w:val="22"/>
  </w:num>
  <w:num w:numId="17">
    <w:abstractNumId w:val="17"/>
  </w:num>
  <w:num w:numId="18">
    <w:abstractNumId w:val="5"/>
  </w:num>
  <w:num w:numId="19">
    <w:abstractNumId w:val="13"/>
  </w:num>
  <w:num w:numId="20">
    <w:abstractNumId w:val="20"/>
  </w:num>
  <w:num w:numId="21">
    <w:abstractNumId w:val="4"/>
  </w:num>
  <w:num w:numId="22">
    <w:abstractNumId w:val="2"/>
  </w:num>
  <w:num w:numId="23">
    <w:abstractNumId w:val="15"/>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DC"/>
    <w:rsid w:val="00005475"/>
    <w:rsid w:val="000176FD"/>
    <w:rsid w:val="00017949"/>
    <w:rsid w:val="00020C75"/>
    <w:rsid w:val="00027217"/>
    <w:rsid w:val="00032F1D"/>
    <w:rsid w:val="0003434A"/>
    <w:rsid w:val="00034A3A"/>
    <w:rsid w:val="0003595C"/>
    <w:rsid w:val="0003632D"/>
    <w:rsid w:val="00042778"/>
    <w:rsid w:val="00053442"/>
    <w:rsid w:val="00055FFC"/>
    <w:rsid w:val="00056BC4"/>
    <w:rsid w:val="00064360"/>
    <w:rsid w:val="000731B9"/>
    <w:rsid w:val="00077F49"/>
    <w:rsid w:val="00083A1D"/>
    <w:rsid w:val="00085D08"/>
    <w:rsid w:val="000932F5"/>
    <w:rsid w:val="00093517"/>
    <w:rsid w:val="00094CF0"/>
    <w:rsid w:val="000A03AD"/>
    <w:rsid w:val="000A3A3C"/>
    <w:rsid w:val="000A564D"/>
    <w:rsid w:val="000C04C8"/>
    <w:rsid w:val="000F095E"/>
    <w:rsid w:val="000F30C4"/>
    <w:rsid w:val="000F69A0"/>
    <w:rsid w:val="0010354E"/>
    <w:rsid w:val="00104C8D"/>
    <w:rsid w:val="00107E60"/>
    <w:rsid w:val="00111131"/>
    <w:rsid w:val="00112947"/>
    <w:rsid w:val="001157DC"/>
    <w:rsid w:val="0012020B"/>
    <w:rsid w:val="0012508E"/>
    <w:rsid w:val="0013337F"/>
    <w:rsid w:val="00136731"/>
    <w:rsid w:val="0013698A"/>
    <w:rsid w:val="00136BF1"/>
    <w:rsid w:val="00140367"/>
    <w:rsid w:val="00141A88"/>
    <w:rsid w:val="00152D77"/>
    <w:rsid w:val="00153B72"/>
    <w:rsid w:val="0015615A"/>
    <w:rsid w:val="00157565"/>
    <w:rsid w:val="00162BAC"/>
    <w:rsid w:val="001662B4"/>
    <w:rsid w:val="001674C1"/>
    <w:rsid w:val="00167CA1"/>
    <w:rsid w:val="001719F0"/>
    <w:rsid w:val="001812CC"/>
    <w:rsid w:val="00184266"/>
    <w:rsid w:val="00184996"/>
    <w:rsid w:val="00186178"/>
    <w:rsid w:val="00186774"/>
    <w:rsid w:val="00186CC5"/>
    <w:rsid w:val="00193D98"/>
    <w:rsid w:val="00196AFC"/>
    <w:rsid w:val="001A0DCA"/>
    <w:rsid w:val="001A5511"/>
    <w:rsid w:val="001B1789"/>
    <w:rsid w:val="001B4D43"/>
    <w:rsid w:val="001D1250"/>
    <w:rsid w:val="001D2983"/>
    <w:rsid w:val="001D6F69"/>
    <w:rsid w:val="001E183F"/>
    <w:rsid w:val="001E40B6"/>
    <w:rsid w:val="002026E6"/>
    <w:rsid w:val="00202DA3"/>
    <w:rsid w:val="00212FAA"/>
    <w:rsid w:val="002301EC"/>
    <w:rsid w:val="00236A1C"/>
    <w:rsid w:val="00236DD0"/>
    <w:rsid w:val="00241C8B"/>
    <w:rsid w:val="00244380"/>
    <w:rsid w:val="0024616A"/>
    <w:rsid w:val="00250DA9"/>
    <w:rsid w:val="00255A44"/>
    <w:rsid w:val="00263F99"/>
    <w:rsid w:val="0026617F"/>
    <w:rsid w:val="00275435"/>
    <w:rsid w:val="00275A58"/>
    <w:rsid w:val="00282798"/>
    <w:rsid w:val="00286FD8"/>
    <w:rsid w:val="002A1BED"/>
    <w:rsid w:val="002A3CB4"/>
    <w:rsid w:val="002A3D15"/>
    <w:rsid w:val="002B50F5"/>
    <w:rsid w:val="002B54E1"/>
    <w:rsid w:val="002B5D20"/>
    <w:rsid w:val="002C51CA"/>
    <w:rsid w:val="003013B7"/>
    <w:rsid w:val="00303C74"/>
    <w:rsid w:val="00304B62"/>
    <w:rsid w:val="00316623"/>
    <w:rsid w:val="00316B0E"/>
    <w:rsid w:val="003316D9"/>
    <w:rsid w:val="00337D4B"/>
    <w:rsid w:val="003473B7"/>
    <w:rsid w:val="003475D3"/>
    <w:rsid w:val="00347741"/>
    <w:rsid w:val="00355B13"/>
    <w:rsid w:val="00366CF2"/>
    <w:rsid w:val="00375713"/>
    <w:rsid w:val="00375894"/>
    <w:rsid w:val="00376453"/>
    <w:rsid w:val="00381D32"/>
    <w:rsid w:val="00385EA0"/>
    <w:rsid w:val="00390599"/>
    <w:rsid w:val="00397C87"/>
    <w:rsid w:val="003B22F2"/>
    <w:rsid w:val="003B50C3"/>
    <w:rsid w:val="003B6BCD"/>
    <w:rsid w:val="003D0FD1"/>
    <w:rsid w:val="003E3408"/>
    <w:rsid w:val="003F0A43"/>
    <w:rsid w:val="00404EF7"/>
    <w:rsid w:val="004059D9"/>
    <w:rsid w:val="0041180F"/>
    <w:rsid w:val="00412B06"/>
    <w:rsid w:val="004262AE"/>
    <w:rsid w:val="00430F17"/>
    <w:rsid w:val="004362D3"/>
    <w:rsid w:val="00441743"/>
    <w:rsid w:val="0044618F"/>
    <w:rsid w:val="00455503"/>
    <w:rsid w:val="00457AB4"/>
    <w:rsid w:val="00464B67"/>
    <w:rsid w:val="00470011"/>
    <w:rsid w:val="0048081A"/>
    <w:rsid w:val="00486243"/>
    <w:rsid w:val="00496BA5"/>
    <w:rsid w:val="004A224E"/>
    <w:rsid w:val="004A5FB5"/>
    <w:rsid w:val="004A67FC"/>
    <w:rsid w:val="004A7CE3"/>
    <w:rsid w:val="004B0AD7"/>
    <w:rsid w:val="004B401D"/>
    <w:rsid w:val="004B4A46"/>
    <w:rsid w:val="004B6622"/>
    <w:rsid w:val="004C2BAB"/>
    <w:rsid w:val="004D1613"/>
    <w:rsid w:val="004D1666"/>
    <w:rsid w:val="004D28AF"/>
    <w:rsid w:val="004D5ECB"/>
    <w:rsid w:val="004F4247"/>
    <w:rsid w:val="004F4FDE"/>
    <w:rsid w:val="00502F10"/>
    <w:rsid w:val="005043F9"/>
    <w:rsid w:val="00517C13"/>
    <w:rsid w:val="00521594"/>
    <w:rsid w:val="00527408"/>
    <w:rsid w:val="0054592E"/>
    <w:rsid w:val="00550E35"/>
    <w:rsid w:val="00551F1E"/>
    <w:rsid w:val="00563CDD"/>
    <w:rsid w:val="00580F8A"/>
    <w:rsid w:val="00584DFB"/>
    <w:rsid w:val="005863E6"/>
    <w:rsid w:val="005A56ED"/>
    <w:rsid w:val="005D2AE5"/>
    <w:rsid w:val="005E0544"/>
    <w:rsid w:val="005E341C"/>
    <w:rsid w:val="005E70AF"/>
    <w:rsid w:val="005F6123"/>
    <w:rsid w:val="005F658D"/>
    <w:rsid w:val="005F6E4C"/>
    <w:rsid w:val="005F7247"/>
    <w:rsid w:val="005F7537"/>
    <w:rsid w:val="00610135"/>
    <w:rsid w:val="00631136"/>
    <w:rsid w:val="00631A35"/>
    <w:rsid w:val="00641248"/>
    <w:rsid w:val="00642E96"/>
    <w:rsid w:val="00654988"/>
    <w:rsid w:val="0066718C"/>
    <w:rsid w:val="0066775F"/>
    <w:rsid w:val="00670712"/>
    <w:rsid w:val="00677F67"/>
    <w:rsid w:val="00685445"/>
    <w:rsid w:val="006946FD"/>
    <w:rsid w:val="006B4ECA"/>
    <w:rsid w:val="006B66B4"/>
    <w:rsid w:val="006C4C0D"/>
    <w:rsid w:val="006D12E1"/>
    <w:rsid w:val="006D25A4"/>
    <w:rsid w:val="006E02E6"/>
    <w:rsid w:val="006F16DB"/>
    <w:rsid w:val="006F330C"/>
    <w:rsid w:val="006F5FF0"/>
    <w:rsid w:val="00706165"/>
    <w:rsid w:val="00711349"/>
    <w:rsid w:val="00715757"/>
    <w:rsid w:val="00715B8E"/>
    <w:rsid w:val="007172C7"/>
    <w:rsid w:val="007367F1"/>
    <w:rsid w:val="0074169B"/>
    <w:rsid w:val="00750F03"/>
    <w:rsid w:val="007510A2"/>
    <w:rsid w:val="0075799D"/>
    <w:rsid w:val="0076311D"/>
    <w:rsid w:val="00766EA2"/>
    <w:rsid w:val="0077074D"/>
    <w:rsid w:val="00786A5F"/>
    <w:rsid w:val="007A099B"/>
    <w:rsid w:val="007C0762"/>
    <w:rsid w:val="007C1921"/>
    <w:rsid w:val="007C43AC"/>
    <w:rsid w:val="007C7971"/>
    <w:rsid w:val="007D06FD"/>
    <w:rsid w:val="007D155B"/>
    <w:rsid w:val="007D4395"/>
    <w:rsid w:val="007E2299"/>
    <w:rsid w:val="007E239D"/>
    <w:rsid w:val="007F09E8"/>
    <w:rsid w:val="00801297"/>
    <w:rsid w:val="008033FD"/>
    <w:rsid w:val="00812047"/>
    <w:rsid w:val="00813CB1"/>
    <w:rsid w:val="0081603E"/>
    <w:rsid w:val="00816EFD"/>
    <w:rsid w:val="00820183"/>
    <w:rsid w:val="008255B7"/>
    <w:rsid w:val="008447C8"/>
    <w:rsid w:val="00846107"/>
    <w:rsid w:val="00856C89"/>
    <w:rsid w:val="00864509"/>
    <w:rsid w:val="00864F31"/>
    <w:rsid w:val="00866653"/>
    <w:rsid w:val="00866CE0"/>
    <w:rsid w:val="00867281"/>
    <w:rsid w:val="008735F6"/>
    <w:rsid w:val="00877CA4"/>
    <w:rsid w:val="00886836"/>
    <w:rsid w:val="008919FF"/>
    <w:rsid w:val="008A28E6"/>
    <w:rsid w:val="008B51B8"/>
    <w:rsid w:val="008D0127"/>
    <w:rsid w:val="008D2871"/>
    <w:rsid w:val="008E02C0"/>
    <w:rsid w:val="008E38CB"/>
    <w:rsid w:val="008E66B9"/>
    <w:rsid w:val="008E69E1"/>
    <w:rsid w:val="009070B3"/>
    <w:rsid w:val="00914F8B"/>
    <w:rsid w:val="00915BEA"/>
    <w:rsid w:val="0092181D"/>
    <w:rsid w:val="009231C9"/>
    <w:rsid w:val="00932756"/>
    <w:rsid w:val="00933BBF"/>
    <w:rsid w:val="00935880"/>
    <w:rsid w:val="00944166"/>
    <w:rsid w:val="00946B8D"/>
    <w:rsid w:val="00946FDB"/>
    <w:rsid w:val="009507C4"/>
    <w:rsid w:val="009618CB"/>
    <w:rsid w:val="00971054"/>
    <w:rsid w:val="0097418D"/>
    <w:rsid w:val="009756E1"/>
    <w:rsid w:val="009810B3"/>
    <w:rsid w:val="00981E51"/>
    <w:rsid w:val="009862DA"/>
    <w:rsid w:val="00986D98"/>
    <w:rsid w:val="009A3C6B"/>
    <w:rsid w:val="009A4C5B"/>
    <w:rsid w:val="009A779B"/>
    <w:rsid w:val="009B0C7E"/>
    <w:rsid w:val="009B3162"/>
    <w:rsid w:val="009C2E9A"/>
    <w:rsid w:val="009C3CCC"/>
    <w:rsid w:val="009F2366"/>
    <w:rsid w:val="00A073A9"/>
    <w:rsid w:val="00A07E56"/>
    <w:rsid w:val="00A2217F"/>
    <w:rsid w:val="00A24D84"/>
    <w:rsid w:val="00A3633C"/>
    <w:rsid w:val="00A52766"/>
    <w:rsid w:val="00A52A21"/>
    <w:rsid w:val="00A60C27"/>
    <w:rsid w:val="00A610D0"/>
    <w:rsid w:val="00A638CF"/>
    <w:rsid w:val="00A77DE1"/>
    <w:rsid w:val="00A8011B"/>
    <w:rsid w:val="00A83718"/>
    <w:rsid w:val="00A91AE6"/>
    <w:rsid w:val="00A94A77"/>
    <w:rsid w:val="00AA3581"/>
    <w:rsid w:val="00AA46A4"/>
    <w:rsid w:val="00AA6594"/>
    <w:rsid w:val="00AB18F1"/>
    <w:rsid w:val="00AB3CAF"/>
    <w:rsid w:val="00AB5C82"/>
    <w:rsid w:val="00AC0892"/>
    <w:rsid w:val="00AE65AF"/>
    <w:rsid w:val="00AF408D"/>
    <w:rsid w:val="00AF48E2"/>
    <w:rsid w:val="00AF6F1B"/>
    <w:rsid w:val="00B125CF"/>
    <w:rsid w:val="00B15246"/>
    <w:rsid w:val="00B206AB"/>
    <w:rsid w:val="00B26B57"/>
    <w:rsid w:val="00B315BE"/>
    <w:rsid w:val="00B339D4"/>
    <w:rsid w:val="00B4476F"/>
    <w:rsid w:val="00B63C6C"/>
    <w:rsid w:val="00B674CF"/>
    <w:rsid w:val="00B709CF"/>
    <w:rsid w:val="00B9002F"/>
    <w:rsid w:val="00B931E6"/>
    <w:rsid w:val="00BA3052"/>
    <w:rsid w:val="00BB0F10"/>
    <w:rsid w:val="00BB486B"/>
    <w:rsid w:val="00BC0A25"/>
    <w:rsid w:val="00BC3898"/>
    <w:rsid w:val="00BC4684"/>
    <w:rsid w:val="00BC4AB1"/>
    <w:rsid w:val="00BD74B8"/>
    <w:rsid w:val="00BE0282"/>
    <w:rsid w:val="00BE27B5"/>
    <w:rsid w:val="00BE7B1B"/>
    <w:rsid w:val="00C028C3"/>
    <w:rsid w:val="00C176B9"/>
    <w:rsid w:val="00C234BC"/>
    <w:rsid w:val="00C33261"/>
    <w:rsid w:val="00C3425F"/>
    <w:rsid w:val="00C377AA"/>
    <w:rsid w:val="00C37D46"/>
    <w:rsid w:val="00C40564"/>
    <w:rsid w:val="00C40DAB"/>
    <w:rsid w:val="00C41E08"/>
    <w:rsid w:val="00C43B61"/>
    <w:rsid w:val="00C4734F"/>
    <w:rsid w:val="00C505B8"/>
    <w:rsid w:val="00C524C5"/>
    <w:rsid w:val="00C53A68"/>
    <w:rsid w:val="00C635A3"/>
    <w:rsid w:val="00C74600"/>
    <w:rsid w:val="00C75833"/>
    <w:rsid w:val="00C823BF"/>
    <w:rsid w:val="00C8455E"/>
    <w:rsid w:val="00C90074"/>
    <w:rsid w:val="00C94D8A"/>
    <w:rsid w:val="00CA0C2B"/>
    <w:rsid w:val="00CA12A1"/>
    <w:rsid w:val="00CA2376"/>
    <w:rsid w:val="00CA3361"/>
    <w:rsid w:val="00CB2784"/>
    <w:rsid w:val="00CB5EDD"/>
    <w:rsid w:val="00CD12A8"/>
    <w:rsid w:val="00CD2509"/>
    <w:rsid w:val="00CD6EE4"/>
    <w:rsid w:val="00CE23A7"/>
    <w:rsid w:val="00CE3EA5"/>
    <w:rsid w:val="00D00D26"/>
    <w:rsid w:val="00D05361"/>
    <w:rsid w:val="00D16102"/>
    <w:rsid w:val="00D226FD"/>
    <w:rsid w:val="00D27384"/>
    <w:rsid w:val="00D34A9F"/>
    <w:rsid w:val="00D356F0"/>
    <w:rsid w:val="00D37B74"/>
    <w:rsid w:val="00D54FC5"/>
    <w:rsid w:val="00D5604F"/>
    <w:rsid w:val="00D57961"/>
    <w:rsid w:val="00D7050B"/>
    <w:rsid w:val="00D7606F"/>
    <w:rsid w:val="00D80354"/>
    <w:rsid w:val="00D818AF"/>
    <w:rsid w:val="00D860A2"/>
    <w:rsid w:val="00D952AF"/>
    <w:rsid w:val="00DA5EEF"/>
    <w:rsid w:val="00DB27B9"/>
    <w:rsid w:val="00DB2E16"/>
    <w:rsid w:val="00DC2B84"/>
    <w:rsid w:val="00DC3D4F"/>
    <w:rsid w:val="00DC65E5"/>
    <w:rsid w:val="00DD4151"/>
    <w:rsid w:val="00DD4BDA"/>
    <w:rsid w:val="00DD6786"/>
    <w:rsid w:val="00DF2EB4"/>
    <w:rsid w:val="00DF5EAE"/>
    <w:rsid w:val="00E137DC"/>
    <w:rsid w:val="00E15507"/>
    <w:rsid w:val="00E230C8"/>
    <w:rsid w:val="00E36745"/>
    <w:rsid w:val="00E440BE"/>
    <w:rsid w:val="00E467B8"/>
    <w:rsid w:val="00E46D5E"/>
    <w:rsid w:val="00E47DD0"/>
    <w:rsid w:val="00E54C99"/>
    <w:rsid w:val="00E660BE"/>
    <w:rsid w:val="00E84CAB"/>
    <w:rsid w:val="00E93875"/>
    <w:rsid w:val="00E943C6"/>
    <w:rsid w:val="00E9628E"/>
    <w:rsid w:val="00E97567"/>
    <w:rsid w:val="00EA6BC7"/>
    <w:rsid w:val="00EB0C22"/>
    <w:rsid w:val="00EC2094"/>
    <w:rsid w:val="00EC428A"/>
    <w:rsid w:val="00EC6967"/>
    <w:rsid w:val="00EC7092"/>
    <w:rsid w:val="00ED00B7"/>
    <w:rsid w:val="00ED0C88"/>
    <w:rsid w:val="00ED3B40"/>
    <w:rsid w:val="00EE0B9E"/>
    <w:rsid w:val="00EE0E12"/>
    <w:rsid w:val="00EF4164"/>
    <w:rsid w:val="00F04CB9"/>
    <w:rsid w:val="00F06F1B"/>
    <w:rsid w:val="00F146A4"/>
    <w:rsid w:val="00F1737F"/>
    <w:rsid w:val="00F17AEC"/>
    <w:rsid w:val="00F331F2"/>
    <w:rsid w:val="00F428CC"/>
    <w:rsid w:val="00F51577"/>
    <w:rsid w:val="00F52E2C"/>
    <w:rsid w:val="00F54610"/>
    <w:rsid w:val="00F5559E"/>
    <w:rsid w:val="00F60082"/>
    <w:rsid w:val="00F639D0"/>
    <w:rsid w:val="00F66AC1"/>
    <w:rsid w:val="00F672C2"/>
    <w:rsid w:val="00F71DE6"/>
    <w:rsid w:val="00F7351F"/>
    <w:rsid w:val="00F73E45"/>
    <w:rsid w:val="00F7505E"/>
    <w:rsid w:val="00F758C7"/>
    <w:rsid w:val="00F779DD"/>
    <w:rsid w:val="00F80107"/>
    <w:rsid w:val="00F917FE"/>
    <w:rsid w:val="00F926C5"/>
    <w:rsid w:val="00F938CC"/>
    <w:rsid w:val="00F97431"/>
    <w:rsid w:val="00FA038F"/>
    <w:rsid w:val="00FA2FF8"/>
    <w:rsid w:val="00FA4A8D"/>
    <w:rsid w:val="00FC1890"/>
    <w:rsid w:val="00FE44F8"/>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924F"/>
  <w15:chartTrackingRefBased/>
  <w15:docId w15:val="{F3217218-C494-704B-8879-C6E85DCD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D4F"/>
    <w:rPr>
      <w:color w:val="0000FF"/>
      <w:u w:val="single"/>
    </w:rPr>
  </w:style>
  <w:style w:type="character" w:customStyle="1" w:styleId="apple-converted-space">
    <w:name w:val="apple-converted-space"/>
    <w:basedOn w:val="DefaultParagraphFont"/>
    <w:rsid w:val="00DC3D4F"/>
  </w:style>
  <w:style w:type="paragraph" w:styleId="NormalWeb">
    <w:name w:val="Normal (Web)"/>
    <w:basedOn w:val="Normal"/>
    <w:uiPriority w:val="99"/>
    <w:unhideWhenUsed/>
    <w:rsid w:val="0097418D"/>
    <w:pPr>
      <w:spacing w:before="100" w:beforeAutospacing="1" w:after="100" w:afterAutospacing="1"/>
    </w:pPr>
  </w:style>
  <w:style w:type="paragraph" w:customStyle="1" w:styleId="nova-e-listitem">
    <w:name w:val="nova-e-list__item"/>
    <w:basedOn w:val="Normal"/>
    <w:rsid w:val="00715B8E"/>
    <w:pPr>
      <w:spacing w:before="100" w:beforeAutospacing="1" w:after="100" w:afterAutospacing="1"/>
    </w:pPr>
  </w:style>
  <w:style w:type="character" w:customStyle="1" w:styleId="slug-doi">
    <w:name w:val="slug-doi"/>
    <w:basedOn w:val="DefaultParagraphFont"/>
    <w:rsid w:val="00D818AF"/>
  </w:style>
  <w:style w:type="character" w:styleId="FollowedHyperlink">
    <w:name w:val="FollowedHyperlink"/>
    <w:basedOn w:val="DefaultParagraphFont"/>
    <w:uiPriority w:val="99"/>
    <w:semiHidden/>
    <w:unhideWhenUsed/>
    <w:rsid w:val="00ED00B7"/>
    <w:rPr>
      <w:color w:val="954F72" w:themeColor="followedHyperlink"/>
      <w:u w:val="single"/>
    </w:rPr>
  </w:style>
  <w:style w:type="character" w:customStyle="1" w:styleId="UnresolvedMention1">
    <w:name w:val="Unresolved Mention1"/>
    <w:basedOn w:val="DefaultParagraphFont"/>
    <w:uiPriority w:val="99"/>
    <w:semiHidden/>
    <w:unhideWhenUsed/>
    <w:rsid w:val="00521594"/>
    <w:rPr>
      <w:color w:val="605E5C"/>
      <w:shd w:val="clear" w:color="auto" w:fill="E1DFDD"/>
    </w:rPr>
  </w:style>
  <w:style w:type="character" w:customStyle="1" w:styleId="article-headeraccess">
    <w:name w:val="article-header__access"/>
    <w:basedOn w:val="DefaultParagraphFont"/>
    <w:rsid w:val="009862DA"/>
  </w:style>
  <w:style w:type="character" w:customStyle="1" w:styleId="article-headerdoi">
    <w:name w:val="article-header__doi"/>
    <w:basedOn w:val="DefaultParagraphFont"/>
    <w:rsid w:val="009862DA"/>
  </w:style>
  <w:style w:type="character" w:customStyle="1" w:styleId="article-headerdoilabel">
    <w:name w:val="article-header__doi__label"/>
    <w:basedOn w:val="DefaultParagraphFont"/>
    <w:rsid w:val="009862DA"/>
  </w:style>
  <w:style w:type="character" w:styleId="Emphasis">
    <w:name w:val="Emphasis"/>
    <w:basedOn w:val="DefaultParagraphFont"/>
    <w:uiPriority w:val="20"/>
    <w:qFormat/>
    <w:rsid w:val="00140367"/>
    <w:rPr>
      <w:i/>
      <w:iCs/>
    </w:rPr>
  </w:style>
  <w:style w:type="paragraph" w:styleId="ListParagraph">
    <w:name w:val="List Paragraph"/>
    <w:basedOn w:val="Normal"/>
    <w:uiPriority w:val="34"/>
    <w:qFormat/>
    <w:rsid w:val="00140367"/>
    <w:pPr>
      <w:ind w:left="720"/>
      <w:contextualSpacing/>
    </w:pPr>
  </w:style>
  <w:style w:type="paragraph" w:styleId="BalloonText">
    <w:name w:val="Balloon Text"/>
    <w:basedOn w:val="Normal"/>
    <w:link w:val="BalloonTextChar"/>
    <w:uiPriority w:val="99"/>
    <w:semiHidden/>
    <w:unhideWhenUsed/>
    <w:rsid w:val="00F639D0"/>
    <w:rPr>
      <w:sz w:val="18"/>
      <w:szCs w:val="18"/>
    </w:rPr>
  </w:style>
  <w:style w:type="character" w:customStyle="1" w:styleId="BalloonTextChar">
    <w:name w:val="Balloon Text Char"/>
    <w:basedOn w:val="DefaultParagraphFont"/>
    <w:link w:val="BalloonText"/>
    <w:uiPriority w:val="99"/>
    <w:semiHidden/>
    <w:rsid w:val="00F639D0"/>
    <w:rPr>
      <w:rFonts w:ascii="Times New Roman" w:eastAsia="Times New Roman" w:hAnsi="Times New Roman" w:cs="Times New Roman"/>
      <w:sz w:val="18"/>
      <w:szCs w:val="18"/>
    </w:rPr>
  </w:style>
  <w:style w:type="paragraph" w:styleId="Revision">
    <w:name w:val="Revision"/>
    <w:hidden/>
    <w:uiPriority w:val="99"/>
    <w:semiHidden/>
    <w:rsid w:val="00FA2FF8"/>
    <w:rPr>
      <w:rFonts w:ascii="Times New Roman" w:eastAsia="Times New Roman" w:hAnsi="Times New Roman" w:cs="Times New Roman"/>
    </w:rPr>
  </w:style>
  <w:style w:type="paragraph" w:styleId="Header">
    <w:name w:val="header"/>
    <w:basedOn w:val="Normal"/>
    <w:link w:val="HeaderChar"/>
    <w:uiPriority w:val="99"/>
    <w:unhideWhenUsed/>
    <w:rsid w:val="00BE27B5"/>
    <w:pPr>
      <w:tabs>
        <w:tab w:val="center" w:pos="4703"/>
        <w:tab w:val="right" w:pos="9406"/>
      </w:tabs>
    </w:pPr>
  </w:style>
  <w:style w:type="character" w:customStyle="1" w:styleId="HeaderChar">
    <w:name w:val="Header Char"/>
    <w:basedOn w:val="DefaultParagraphFont"/>
    <w:link w:val="Header"/>
    <w:uiPriority w:val="99"/>
    <w:rsid w:val="00BE27B5"/>
    <w:rPr>
      <w:rFonts w:ascii="Times New Roman" w:eastAsia="Times New Roman" w:hAnsi="Times New Roman" w:cs="Times New Roman"/>
    </w:rPr>
  </w:style>
  <w:style w:type="paragraph" w:styleId="Footer">
    <w:name w:val="footer"/>
    <w:basedOn w:val="Normal"/>
    <w:link w:val="FooterChar"/>
    <w:uiPriority w:val="99"/>
    <w:unhideWhenUsed/>
    <w:rsid w:val="00BE27B5"/>
    <w:pPr>
      <w:tabs>
        <w:tab w:val="center" w:pos="4703"/>
        <w:tab w:val="right" w:pos="9406"/>
      </w:tabs>
    </w:pPr>
  </w:style>
  <w:style w:type="character" w:customStyle="1" w:styleId="FooterChar">
    <w:name w:val="Footer Char"/>
    <w:basedOn w:val="DefaultParagraphFont"/>
    <w:link w:val="Footer"/>
    <w:uiPriority w:val="99"/>
    <w:rsid w:val="00BE27B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4BDA"/>
    <w:rPr>
      <w:sz w:val="16"/>
      <w:szCs w:val="16"/>
    </w:rPr>
  </w:style>
  <w:style w:type="paragraph" w:styleId="CommentText">
    <w:name w:val="annotation text"/>
    <w:basedOn w:val="Normal"/>
    <w:link w:val="CommentTextChar"/>
    <w:uiPriority w:val="99"/>
    <w:semiHidden/>
    <w:unhideWhenUsed/>
    <w:rsid w:val="00DD4BDA"/>
    <w:rPr>
      <w:sz w:val="20"/>
      <w:szCs w:val="20"/>
    </w:rPr>
  </w:style>
  <w:style w:type="character" w:customStyle="1" w:styleId="CommentTextChar">
    <w:name w:val="Comment Text Char"/>
    <w:basedOn w:val="DefaultParagraphFont"/>
    <w:link w:val="CommentText"/>
    <w:uiPriority w:val="99"/>
    <w:semiHidden/>
    <w:rsid w:val="00DD4B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BDA"/>
    <w:rPr>
      <w:b/>
      <w:bCs/>
    </w:rPr>
  </w:style>
  <w:style w:type="character" w:customStyle="1" w:styleId="CommentSubjectChar">
    <w:name w:val="Comment Subject Char"/>
    <w:basedOn w:val="CommentTextChar"/>
    <w:link w:val="CommentSubject"/>
    <w:uiPriority w:val="99"/>
    <w:semiHidden/>
    <w:rsid w:val="00DD4BDA"/>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A073A9"/>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157">
      <w:bodyDiv w:val="1"/>
      <w:marLeft w:val="0"/>
      <w:marRight w:val="0"/>
      <w:marTop w:val="0"/>
      <w:marBottom w:val="0"/>
      <w:divBdr>
        <w:top w:val="none" w:sz="0" w:space="0" w:color="auto"/>
        <w:left w:val="none" w:sz="0" w:space="0" w:color="auto"/>
        <w:bottom w:val="none" w:sz="0" w:space="0" w:color="auto"/>
        <w:right w:val="none" w:sz="0" w:space="0" w:color="auto"/>
      </w:divBdr>
    </w:div>
    <w:div w:id="47997745">
      <w:bodyDiv w:val="1"/>
      <w:marLeft w:val="0"/>
      <w:marRight w:val="0"/>
      <w:marTop w:val="0"/>
      <w:marBottom w:val="0"/>
      <w:divBdr>
        <w:top w:val="none" w:sz="0" w:space="0" w:color="auto"/>
        <w:left w:val="none" w:sz="0" w:space="0" w:color="auto"/>
        <w:bottom w:val="none" w:sz="0" w:space="0" w:color="auto"/>
        <w:right w:val="none" w:sz="0" w:space="0" w:color="auto"/>
      </w:divBdr>
    </w:div>
    <w:div w:id="65540154">
      <w:bodyDiv w:val="1"/>
      <w:marLeft w:val="0"/>
      <w:marRight w:val="0"/>
      <w:marTop w:val="0"/>
      <w:marBottom w:val="0"/>
      <w:divBdr>
        <w:top w:val="none" w:sz="0" w:space="0" w:color="auto"/>
        <w:left w:val="none" w:sz="0" w:space="0" w:color="auto"/>
        <w:bottom w:val="none" w:sz="0" w:space="0" w:color="auto"/>
        <w:right w:val="none" w:sz="0" w:space="0" w:color="auto"/>
      </w:divBdr>
    </w:div>
    <w:div w:id="93281538">
      <w:bodyDiv w:val="1"/>
      <w:marLeft w:val="0"/>
      <w:marRight w:val="0"/>
      <w:marTop w:val="0"/>
      <w:marBottom w:val="0"/>
      <w:divBdr>
        <w:top w:val="none" w:sz="0" w:space="0" w:color="auto"/>
        <w:left w:val="none" w:sz="0" w:space="0" w:color="auto"/>
        <w:bottom w:val="none" w:sz="0" w:space="0" w:color="auto"/>
        <w:right w:val="none" w:sz="0" w:space="0" w:color="auto"/>
      </w:divBdr>
    </w:div>
    <w:div w:id="136534141">
      <w:bodyDiv w:val="1"/>
      <w:marLeft w:val="0"/>
      <w:marRight w:val="0"/>
      <w:marTop w:val="0"/>
      <w:marBottom w:val="0"/>
      <w:divBdr>
        <w:top w:val="none" w:sz="0" w:space="0" w:color="auto"/>
        <w:left w:val="none" w:sz="0" w:space="0" w:color="auto"/>
        <w:bottom w:val="none" w:sz="0" w:space="0" w:color="auto"/>
        <w:right w:val="none" w:sz="0" w:space="0" w:color="auto"/>
      </w:divBdr>
    </w:div>
    <w:div w:id="171337483">
      <w:bodyDiv w:val="1"/>
      <w:marLeft w:val="0"/>
      <w:marRight w:val="0"/>
      <w:marTop w:val="0"/>
      <w:marBottom w:val="0"/>
      <w:divBdr>
        <w:top w:val="none" w:sz="0" w:space="0" w:color="auto"/>
        <w:left w:val="none" w:sz="0" w:space="0" w:color="auto"/>
        <w:bottom w:val="none" w:sz="0" w:space="0" w:color="auto"/>
        <w:right w:val="none" w:sz="0" w:space="0" w:color="auto"/>
      </w:divBdr>
    </w:div>
    <w:div w:id="244535990">
      <w:bodyDiv w:val="1"/>
      <w:marLeft w:val="0"/>
      <w:marRight w:val="0"/>
      <w:marTop w:val="0"/>
      <w:marBottom w:val="0"/>
      <w:divBdr>
        <w:top w:val="none" w:sz="0" w:space="0" w:color="auto"/>
        <w:left w:val="none" w:sz="0" w:space="0" w:color="auto"/>
        <w:bottom w:val="none" w:sz="0" w:space="0" w:color="auto"/>
        <w:right w:val="none" w:sz="0" w:space="0" w:color="auto"/>
      </w:divBdr>
    </w:div>
    <w:div w:id="257450438">
      <w:bodyDiv w:val="1"/>
      <w:marLeft w:val="0"/>
      <w:marRight w:val="0"/>
      <w:marTop w:val="0"/>
      <w:marBottom w:val="0"/>
      <w:divBdr>
        <w:top w:val="none" w:sz="0" w:space="0" w:color="auto"/>
        <w:left w:val="none" w:sz="0" w:space="0" w:color="auto"/>
        <w:bottom w:val="none" w:sz="0" w:space="0" w:color="auto"/>
        <w:right w:val="none" w:sz="0" w:space="0" w:color="auto"/>
      </w:divBdr>
      <w:divsChild>
        <w:div w:id="1180000200">
          <w:marLeft w:val="0"/>
          <w:marRight w:val="0"/>
          <w:marTop w:val="0"/>
          <w:marBottom w:val="0"/>
          <w:divBdr>
            <w:top w:val="none" w:sz="0" w:space="0" w:color="auto"/>
            <w:left w:val="none" w:sz="0" w:space="0" w:color="auto"/>
            <w:bottom w:val="none" w:sz="0" w:space="0" w:color="auto"/>
            <w:right w:val="none" w:sz="0" w:space="0" w:color="auto"/>
          </w:divBdr>
          <w:divsChild>
            <w:div w:id="1537499381">
              <w:marLeft w:val="0"/>
              <w:marRight w:val="0"/>
              <w:marTop w:val="0"/>
              <w:marBottom w:val="0"/>
              <w:divBdr>
                <w:top w:val="none" w:sz="0" w:space="0" w:color="auto"/>
                <w:left w:val="none" w:sz="0" w:space="0" w:color="auto"/>
                <w:bottom w:val="none" w:sz="0" w:space="0" w:color="auto"/>
                <w:right w:val="none" w:sz="0" w:space="0" w:color="auto"/>
              </w:divBdr>
              <w:divsChild>
                <w:div w:id="1001130147">
                  <w:marLeft w:val="0"/>
                  <w:marRight w:val="0"/>
                  <w:marTop w:val="0"/>
                  <w:marBottom w:val="0"/>
                  <w:divBdr>
                    <w:top w:val="none" w:sz="0" w:space="0" w:color="auto"/>
                    <w:left w:val="none" w:sz="0" w:space="0" w:color="auto"/>
                    <w:bottom w:val="none" w:sz="0" w:space="0" w:color="auto"/>
                    <w:right w:val="none" w:sz="0" w:space="0" w:color="auto"/>
                  </w:divBdr>
                  <w:divsChild>
                    <w:div w:id="6920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80721">
      <w:bodyDiv w:val="1"/>
      <w:marLeft w:val="0"/>
      <w:marRight w:val="0"/>
      <w:marTop w:val="0"/>
      <w:marBottom w:val="0"/>
      <w:divBdr>
        <w:top w:val="none" w:sz="0" w:space="0" w:color="auto"/>
        <w:left w:val="none" w:sz="0" w:space="0" w:color="auto"/>
        <w:bottom w:val="none" w:sz="0" w:space="0" w:color="auto"/>
        <w:right w:val="none" w:sz="0" w:space="0" w:color="auto"/>
      </w:divBdr>
      <w:divsChild>
        <w:div w:id="869143494">
          <w:marLeft w:val="0"/>
          <w:marRight w:val="0"/>
          <w:marTop w:val="0"/>
          <w:marBottom w:val="0"/>
          <w:divBdr>
            <w:top w:val="none" w:sz="0" w:space="0" w:color="auto"/>
            <w:left w:val="none" w:sz="0" w:space="0" w:color="auto"/>
            <w:bottom w:val="none" w:sz="0" w:space="0" w:color="auto"/>
            <w:right w:val="none" w:sz="0" w:space="0" w:color="auto"/>
          </w:divBdr>
          <w:divsChild>
            <w:div w:id="1792045322">
              <w:marLeft w:val="0"/>
              <w:marRight w:val="0"/>
              <w:marTop w:val="0"/>
              <w:marBottom w:val="0"/>
              <w:divBdr>
                <w:top w:val="none" w:sz="0" w:space="0" w:color="auto"/>
                <w:left w:val="none" w:sz="0" w:space="0" w:color="auto"/>
                <w:bottom w:val="none" w:sz="0" w:space="0" w:color="auto"/>
                <w:right w:val="none" w:sz="0" w:space="0" w:color="auto"/>
              </w:divBdr>
              <w:divsChild>
                <w:div w:id="1300720897">
                  <w:marLeft w:val="0"/>
                  <w:marRight w:val="0"/>
                  <w:marTop w:val="0"/>
                  <w:marBottom w:val="0"/>
                  <w:divBdr>
                    <w:top w:val="none" w:sz="0" w:space="0" w:color="auto"/>
                    <w:left w:val="none" w:sz="0" w:space="0" w:color="auto"/>
                    <w:bottom w:val="none" w:sz="0" w:space="0" w:color="auto"/>
                    <w:right w:val="none" w:sz="0" w:space="0" w:color="auto"/>
                  </w:divBdr>
                  <w:divsChild>
                    <w:div w:id="4093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86812">
      <w:bodyDiv w:val="1"/>
      <w:marLeft w:val="0"/>
      <w:marRight w:val="0"/>
      <w:marTop w:val="0"/>
      <w:marBottom w:val="0"/>
      <w:divBdr>
        <w:top w:val="none" w:sz="0" w:space="0" w:color="auto"/>
        <w:left w:val="none" w:sz="0" w:space="0" w:color="auto"/>
        <w:bottom w:val="none" w:sz="0" w:space="0" w:color="auto"/>
        <w:right w:val="none" w:sz="0" w:space="0" w:color="auto"/>
      </w:divBdr>
    </w:div>
    <w:div w:id="311952170">
      <w:bodyDiv w:val="1"/>
      <w:marLeft w:val="0"/>
      <w:marRight w:val="0"/>
      <w:marTop w:val="0"/>
      <w:marBottom w:val="0"/>
      <w:divBdr>
        <w:top w:val="none" w:sz="0" w:space="0" w:color="auto"/>
        <w:left w:val="none" w:sz="0" w:space="0" w:color="auto"/>
        <w:bottom w:val="none" w:sz="0" w:space="0" w:color="auto"/>
        <w:right w:val="none" w:sz="0" w:space="0" w:color="auto"/>
      </w:divBdr>
    </w:div>
    <w:div w:id="312757001">
      <w:bodyDiv w:val="1"/>
      <w:marLeft w:val="0"/>
      <w:marRight w:val="0"/>
      <w:marTop w:val="0"/>
      <w:marBottom w:val="0"/>
      <w:divBdr>
        <w:top w:val="none" w:sz="0" w:space="0" w:color="auto"/>
        <w:left w:val="none" w:sz="0" w:space="0" w:color="auto"/>
        <w:bottom w:val="none" w:sz="0" w:space="0" w:color="auto"/>
        <w:right w:val="none" w:sz="0" w:space="0" w:color="auto"/>
      </w:divBdr>
    </w:div>
    <w:div w:id="349530397">
      <w:bodyDiv w:val="1"/>
      <w:marLeft w:val="0"/>
      <w:marRight w:val="0"/>
      <w:marTop w:val="0"/>
      <w:marBottom w:val="0"/>
      <w:divBdr>
        <w:top w:val="none" w:sz="0" w:space="0" w:color="auto"/>
        <w:left w:val="none" w:sz="0" w:space="0" w:color="auto"/>
        <w:bottom w:val="none" w:sz="0" w:space="0" w:color="auto"/>
        <w:right w:val="none" w:sz="0" w:space="0" w:color="auto"/>
      </w:divBdr>
      <w:divsChild>
        <w:div w:id="1673296658">
          <w:marLeft w:val="0"/>
          <w:marRight w:val="0"/>
          <w:marTop w:val="0"/>
          <w:marBottom w:val="0"/>
          <w:divBdr>
            <w:top w:val="none" w:sz="0" w:space="0" w:color="auto"/>
            <w:left w:val="none" w:sz="0" w:space="0" w:color="auto"/>
            <w:bottom w:val="none" w:sz="0" w:space="0" w:color="auto"/>
            <w:right w:val="none" w:sz="0" w:space="0" w:color="auto"/>
          </w:divBdr>
          <w:divsChild>
            <w:div w:id="499276712">
              <w:marLeft w:val="0"/>
              <w:marRight w:val="0"/>
              <w:marTop w:val="0"/>
              <w:marBottom w:val="0"/>
              <w:divBdr>
                <w:top w:val="none" w:sz="0" w:space="0" w:color="auto"/>
                <w:left w:val="none" w:sz="0" w:space="0" w:color="auto"/>
                <w:bottom w:val="none" w:sz="0" w:space="0" w:color="auto"/>
                <w:right w:val="none" w:sz="0" w:space="0" w:color="auto"/>
              </w:divBdr>
              <w:divsChild>
                <w:div w:id="2077242659">
                  <w:marLeft w:val="0"/>
                  <w:marRight w:val="0"/>
                  <w:marTop w:val="0"/>
                  <w:marBottom w:val="0"/>
                  <w:divBdr>
                    <w:top w:val="none" w:sz="0" w:space="0" w:color="auto"/>
                    <w:left w:val="none" w:sz="0" w:space="0" w:color="auto"/>
                    <w:bottom w:val="none" w:sz="0" w:space="0" w:color="auto"/>
                    <w:right w:val="none" w:sz="0" w:space="0" w:color="auto"/>
                  </w:divBdr>
                  <w:divsChild>
                    <w:div w:id="20287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6559">
      <w:bodyDiv w:val="1"/>
      <w:marLeft w:val="0"/>
      <w:marRight w:val="0"/>
      <w:marTop w:val="0"/>
      <w:marBottom w:val="0"/>
      <w:divBdr>
        <w:top w:val="none" w:sz="0" w:space="0" w:color="auto"/>
        <w:left w:val="none" w:sz="0" w:space="0" w:color="auto"/>
        <w:bottom w:val="none" w:sz="0" w:space="0" w:color="auto"/>
        <w:right w:val="none" w:sz="0" w:space="0" w:color="auto"/>
      </w:divBdr>
      <w:divsChild>
        <w:div w:id="1051032755">
          <w:marLeft w:val="0"/>
          <w:marRight w:val="0"/>
          <w:marTop w:val="0"/>
          <w:marBottom w:val="0"/>
          <w:divBdr>
            <w:top w:val="none" w:sz="0" w:space="0" w:color="auto"/>
            <w:left w:val="none" w:sz="0" w:space="0" w:color="auto"/>
            <w:bottom w:val="none" w:sz="0" w:space="0" w:color="auto"/>
            <w:right w:val="none" w:sz="0" w:space="0" w:color="auto"/>
          </w:divBdr>
          <w:divsChild>
            <w:div w:id="526262693">
              <w:marLeft w:val="0"/>
              <w:marRight w:val="0"/>
              <w:marTop w:val="0"/>
              <w:marBottom w:val="0"/>
              <w:divBdr>
                <w:top w:val="none" w:sz="0" w:space="0" w:color="auto"/>
                <w:left w:val="none" w:sz="0" w:space="0" w:color="auto"/>
                <w:bottom w:val="none" w:sz="0" w:space="0" w:color="auto"/>
                <w:right w:val="none" w:sz="0" w:space="0" w:color="auto"/>
              </w:divBdr>
              <w:divsChild>
                <w:div w:id="1600672094">
                  <w:marLeft w:val="0"/>
                  <w:marRight w:val="0"/>
                  <w:marTop w:val="0"/>
                  <w:marBottom w:val="0"/>
                  <w:divBdr>
                    <w:top w:val="none" w:sz="0" w:space="0" w:color="auto"/>
                    <w:left w:val="none" w:sz="0" w:space="0" w:color="auto"/>
                    <w:bottom w:val="none" w:sz="0" w:space="0" w:color="auto"/>
                    <w:right w:val="none" w:sz="0" w:space="0" w:color="auto"/>
                  </w:divBdr>
                  <w:divsChild>
                    <w:div w:id="2010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01659">
      <w:bodyDiv w:val="1"/>
      <w:marLeft w:val="0"/>
      <w:marRight w:val="0"/>
      <w:marTop w:val="0"/>
      <w:marBottom w:val="0"/>
      <w:divBdr>
        <w:top w:val="none" w:sz="0" w:space="0" w:color="auto"/>
        <w:left w:val="none" w:sz="0" w:space="0" w:color="auto"/>
        <w:bottom w:val="none" w:sz="0" w:space="0" w:color="auto"/>
        <w:right w:val="none" w:sz="0" w:space="0" w:color="auto"/>
      </w:divBdr>
    </w:div>
    <w:div w:id="421755577">
      <w:bodyDiv w:val="1"/>
      <w:marLeft w:val="0"/>
      <w:marRight w:val="0"/>
      <w:marTop w:val="0"/>
      <w:marBottom w:val="0"/>
      <w:divBdr>
        <w:top w:val="none" w:sz="0" w:space="0" w:color="auto"/>
        <w:left w:val="none" w:sz="0" w:space="0" w:color="auto"/>
        <w:bottom w:val="none" w:sz="0" w:space="0" w:color="auto"/>
        <w:right w:val="none" w:sz="0" w:space="0" w:color="auto"/>
      </w:divBdr>
    </w:div>
    <w:div w:id="458842839">
      <w:bodyDiv w:val="1"/>
      <w:marLeft w:val="0"/>
      <w:marRight w:val="0"/>
      <w:marTop w:val="0"/>
      <w:marBottom w:val="0"/>
      <w:divBdr>
        <w:top w:val="none" w:sz="0" w:space="0" w:color="auto"/>
        <w:left w:val="none" w:sz="0" w:space="0" w:color="auto"/>
        <w:bottom w:val="none" w:sz="0" w:space="0" w:color="auto"/>
        <w:right w:val="none" w:sz="0" w:space="0" w:color="auto"/>
      </w:divBdr>
    </w:div>
    <w:div w:id="490145128">
      <w:bodyDiv w:val="1"/>
      <w:marLeft w:val="0"/>
      <w:marRight w:val="0"/>
      <w:marTop w:val="0"/>
      <w:marBottom w:val="0"/>
      <w:divBdr>
        <w:top w:val="none" w:sz="0" w:space="0" w:color="auto"/>
        <w:left w:val="none" w:sz="0" w:space="0" w:color="auto"/>
        <w:bottom w:val="none" w:sz="0" w:space="0" w:color="auto"/>
        <w:right w:val="none" w:sz="0" w:space="0" w:color="auto"/>
      </w:divBdr>
      <w:divsChild>
        <w:div w:id="2020497735">
          <w:marLeft w:val="0"/>
          <w:marRight w:val="0"/>
          <w:marTop w:val="0"/>
          <w:marBottom w:val="0"/>
          <w:divBdr>
            <w:top w:val="none" w:sz="0" w:space="0" w:color="auto"/>
            <w:left w:val="none" w:sz="0" w:space="0" w:color="auto"/>
            <w:bottom w:val="none" w:sz="0" w:space="0" w:color="auto"/>
            <w:right w:val="none" w:sz="0" w:space="0" w:color="auto"/>
          </w:divBdr>
          <w:divsChild>
            <w:div w:id="1386641309">
              <w:marLeft w:val="0"/>
              <w:marRight w:val="0"/>
              <w:marTop w:val="0"/>
              <w:marBottom w:val="0"/>
              <w:divBdr>
                <w:top w:val="none" w:sz="0" w:space="0" w:color="auto"/>
                <w:left w:val="none" w:sz="0" w:space="0" w:color="auto"/>
                <w:bottom w:val="none" w:sz="0" w:space="0" w:color="auto"/>
                <w:right w:val="none" w:sz="0" w:space="0" w:color="auto"/>
              </w:divBdr>
              <w:divsChild>
                <w:div w:id="266545460">
                  <w:marLeft w:val="0"/>
                  <w:marRight w:val="0"/>
                  <w:marTop w:val="0"/>
                  <w:marBottom w:val="0"/>
                  <w:divBdr>
                    <w:top w:val="none" w:sz="0" w:space="0" w:color="auto"/>
                    <w:left w:val="none" w:sz="0" w:space="0" w:color="auto"/>
                    <w:bottom w:val="none" w:sz="0" w:space="0" w:color="auto"/>
                    <w:right w:val="none" w:sz="0" w:space="0" w:color="auto"/>
                  </w:divBdr>
                  <w:divsChild>
                    <w:div w:id="18243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3728">
      <w:bodyDiv w:val="1"/>
      <w:marLeft w:val="0"/>
      <w:marRight w:val="0"/>
      <w:marTop w:val="0"/>
      <w:marBottom w:val="0"/>
      <w:divBdr>
        <w:top w:val="none" w:sz="0" w:space="0" w:color="auto"/>
        <w:left w:val="none" w:sz="0" w:space="0" w:color="auto"/>
        <w:bottom w:val="none" w:sz="0" w:space="0" w:color="auto"/>
        <w:right w:val="none" w:sz="0" w:space="0" w:color="auto"/>
      </w:divBdr>
    </w:div>
    <w:div w:id="609317551">
      <w:bodyDiv w:val="1"/>
      <w:marLeft w:val="0"/>
      <w:marRight w:val="0"/>
      <w:marTop w:val="0"/>
      <w:marBottom w:val="0"/>
      <w:divBdr>
        <w:top w:val="none" w:sz="0" w:space="0" w:color="auto"/>
        <w:left w:val="none" w:sz="0" w:space="0" w:color="auto"/>
        <w:bottom w:val="none" w:sz="0" w:space="0" w:color="auto"/>
        <w:right w:val="none" w:sz="0" w:space="0" w:color="auto"/>
      </w:divBdr>
      <w:divsChild>
        <w:div w:id="405538812">
          <w:marLeft w:val="0"/>
          <w:marRight w:val="0"/>
          <w:marTop w:val="0"/>
          <w:marBottom w:val="225"/>
          <w:divBdr>
            <w:top w:val="none" w:sz="0" w:space="0" w:color="auto"/>
            <w:left w:val="none" w:sz="0" w:space="0" w:color="auto"/>
            <w:bottom w:val="none" w:sz="0" w:space="0" w:color="auto"/>
            <w:right w:val="none" w:sz="0" w:space="0" w:color="auto"/>
          </w:divBdr>
          <w:divsChild>
            <w:div w:id="1144616925">
              <w:marLeft w:val="0"/>
              <w:marRight w:val="0"/>
              <w:marTop w:val="0"/>
              <w:marBottom w:val="0"/>
              <w:divBdr>
                <w:top w:val="none" w:sz="0" w:space="0" w:color="auto"/>
                <w:left w:val="none" w:sz="0" w:space="0" w:color="auto"/>
                <w:bottom w:val="none" w:sz="0" w:space="0" w:color="auto"/>
                <w:right w:val="none" w:sz="0" w:space="0" w:color="auto"/>
              </w:divBdr>
              <w:divsChild>
                <w:div w:id="60173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596632">
          <w:marLeft w:val="0"/>
          <w:marRight w:val="0"/>
          <w:marTop w:val="0"/>
          <w:marBottom w:val="75"/>
          <w:divBdr>
            <w:top w:val="none" w:sz="0" w:space="0" w:color="auto"/>
            <w:left w:val="none" w:sz="0" w:space="0" w:color="auto"/>
            <w:bottom w:val="none" w:sz="0" w:space="0" w:color="auto"/>
            <w:right w:val="none" w:sz="0" w:space="0" w:color="auto"/>
          </w:divBdr>
          <w:divsChild>
            <w:div w:id="1568960064">
              <w:marLeft w:val="0"/>
              <w:marRight w:val="0"/>
              <w:marTop w:val="0"/>
              <w:marBottom w:val="0"/>
              <w:divBdr>
                <w:top w:val="none" w:sz="0" w:space="0" w:color="auto"/>
                <w:left w:val="none" w:sz="0" w:space="0" w:color="auto"/>
                <w:bottom w:val="none" w:sz="0" w:space="0" w:color="auto"/>
                <w:right w:val="none" w:sz="0" w:space="0" w:color="auto"/>
              </w:divBdr>
              <w:divsChild>
                <w:div w:id="282225924">
                  <w:marLeft w:val="-38"/>
                  <w:marRight w:val="-38"/>
                  <w:marTop w:val="0"/>
                  <w:marBottom w:val="0"/>
                  <w:divBdr>
                    <w:top w:val="none" w:sz="0" w:space="0" w:color="auto"/>
                    <w:left w:val="none" w:sz="0" w:space="0" w:color="auto"/>
                    <w:bottom w:val="none" w:sz="0" w:space="0" w:color="auto"/>
                    <w:right w:val="none" w:sz="0" w:space="0" w:color="auto"/>
                  </w:divBdr>
                  <w:divsChild>
                    <w:div w:id="2052849716">
                      <w:marLeft w:val="0"/>
                      <w:marRight w:val="0"/>
                      <w:marTop w:val="0"/>
                      <w:marBottom w:val="0"/>
                      <w:divBdr>
                        <w:top w:val="none" w:sz="0" w:space="0" w:color="auto"/>
                        <w:left w:val="none" w:sz="0" w:space="0" w:color="auto"/>
                        <w:bottom w:val="none" w:sz="0" w:space="0" w:color="auto"/>
                        <w:right w:val="none" w:sz="0" w:space="0" w:color="auto"/>
                      </w:divBdr>
                      <w:divsChild>
                        <w:div w:id="884371844">
                          <w:marLeft w:val="0"/>
                          <w:marRight w:val="0"/>
                          <w:marTop w:val="0"/>
                          <w:marBottom w:val="0"/>
                          <w:divBdr>
                            <w:top w:val="none" w:sz="0" w:space="0" w:color="auto"/>
                            <w:left w:val="none" w:sz="0" w:space="0" w:color="auto"/>
                            <w:bottom w:val="none" w:sz="0" w:space="0" w:color="auto"/>
                            <w:right w:val="none" w:sz="0" w:space="0" w:color="auto"/>
                          </w:divBdr>
                          <w:divsChild>
                            <w:div w:id="796876067">
                              <w:marLeft w:val="-38"/>
                              <w:marRight w:val="-38"/>
                              <w:marTop w:val="0"/>
                              <w:marBottom w:val="0"/>
                              <w:divBdr>
                                <w:top w:val="none" w:sz="0" w:space="0" w:color="auto"/>
                                <w:left w:val="none" w:sz="0" w:space="0" w:color="auto"/>
                                <w:bottom w:val="none" w:sz="0" w:space="0" w:color="auto"/>
                                <w:right w:val="none" w:sz="0" w:space="0" w:color="auto"/>
                              </w:divBdr>
                              <w:divsChild>
                                <w:div w:id="1537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6303">
                      <w:marLeft w:val="0"/>
                      <w:marRight w:val="0"/>
                      <w:marTop w:val="0"/>
                      <w:marBottom w:val="0"/>
                      <w:divBdr>
                        <w:top w:val="none" w:sz="0" w:space="0" w:color="auto"/>
                        <w:left w:val="none" w:sz="0" w:space="0" w:color="auto"/>
                        <w:bottom w:val="none" w:sz="0" w:space="0" w:color="auto"/>
                        <w:right w:val="none" w:sz="0" w:space="0" w:color="auto"/>
                      </w:divBdr>
                      <w:divsChild>
                        <w:div w:id="563221869">
                          <w:marLeft w:val="0"/>
                          <w:marRight w:val="0"/>
                          <w:marTop w:val="0"/>
                          <w:marBottom w:val="0"/>
                          <w:divBdr>
                            <w:top w:val="none" w:sz="0" w:space="0" w:color="auto"/>
                            <w:left w:val="none" w:sz="0" w:space="0" w:color="auto"/>
                            <w:bottom w:val="none" w:sz="0" w:space="0" w:color="auto"/>
                            <w:right w:val="none" w:sz="0" w:space="0" w:color="auto"/>
                          </w:divBdr>
                          <w:divsChild>
                            <w:div w:id="2131312665">
                              <w:marLeft w:val="-38"/>
                              <w:marRight w:val="-38"/>
                              <w:marTop w:val="0"/>
                              <w:marBottom w:val="0"/>
                              <w:divBdr>
                                <w:top w:val="none" w:sz="0" w:space="0" w:color="auto"/>
                                <w:left w:val="none" w:sz="0" w:space="0" w:color="auto"/>
                                <w:bottom w:val="none" w:sz="0" w:space="0" w:color="auto"/>
                                <w:right w:val="none" w:sz="0" w:space="0" w:color="auto"/>
                              </w:divBdr>
                              <w:divsChild>
                                <w:div w:id="1881166834">
                                  <w:marLeft w:val="0"/>
                                  <w:marRight w:val="0"/>
                                  <w:marTop w:val="0"/>
                                  <w:marBottom w:val="0"/>
                                  <w:divBdr>
                                    <w:top w:val="none" w:sz="0" w:space="0" w:color="auto"/>
                                    <w:left w:val="none" w:sz="0" w:space="0" w:color="auto"/>
                                    <w:bottom w:val="none" w:sz="0" w:space="0" w:color="auto"/>
                                    <w:right w:val="none" w:sz="0" w:space="0" w:color="auto"/>
                                  </w:divBdr>
                                  <w:divsChild>
                                    <w:div w:id="1264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09714">
              <w:marLeft w:val="0"/>
              <w:marRight w:val="0"/>
              <w:marTop w:val="0"/>
              <w:marBottom w:val="0"/>
              <w:divBdr>
                <w:top w:val="none" w:sz="0" w:space="0" w:color="auto"/>
                <w:left w:val="none" w:sz="0" w:space="0" w:color="auto"/>
                <w:bottom w:val="none" w:sz="0" w:space="0" w:color="auto"/>
                <w:right w:val="none" w:sz="0" w:space="0" w:color="auto"/>
              </w:divBdr>
              <w:divsChild>
                <w:div w:id="258805101">
                  <w:marLeft w:val="-38"/>
                  <w:marRight w:val="-38"/>
                  <w:marTop w:val="0"/>
                  <w:marBottom w:val="0"/>
                  <w:divBdr>
                    <w:top w:val="none" w:sz="0" w:space="0" w:color="auto"/>
                    <w:left w:val="none" w:sz="0" w:space="0" w:color="auto"/>
                    <w:bottom w:val="none" w:sz="0" w:space="0" w:color="auto"/>
                    <w:right w:val="none" w:sz="0" w:space="0" w:color="auto"/>
                  </w:divBdr>
                  <w:divsChild>
                    <w:div w:id="759368902">
                      <w:marLeft w:val="0"/>
                      <w:marRight w:val="0"/>
                      <w:marTop w:val="0"/>
                      <w:marBottom w:val="0"/>
                      <w:divBdr>
                        <w:top w:val="none" w:sz="0" w:space="0" w:color="auto"/>
                        <w:left w:val="none" w:sz="0" w:space="0" w:color="auto"/>
                        <w:bottom w:val="none" w:sz="0" w:space="0" w:color="auto"/>
                        <w:right w:val="none" w:sz="0" w:space="0" w:color="auto"/>
                      </w:divBdr>
                      <w:divsChild>
                        <w:div w:id="1546716365">
                          <w:marLeft w:val="0"/>
                          <w:marRight w:val="0"/>
                          <w:marTop w:val="0"/>
                          <w:marBottom w:val="0"/>
                          <w:divBdr>
                            <w:top w:val="none" w:sz="0" w:space="0" w:color="auto"/>
                            <w:left w:val="none" w:sz="0" w:space="0" w:color="auto"/>
                            <w:bottom w:val="none" w:sz="0" w:space="0" w:color="auto"/>
                            <w:right w:val="none" w:sz="0" w:space="0" w:color="auto"/>
                          </w:divBdr>
                          <w:divsChild>
                            <w:div w:id="449128480">
                              <w:marLeft w:val="-38"/>
                              <w:marRight w:val="-38"/>
                              <w:marTop w:val="0"/>
                              <w:marBottom w:val="0"/>
                              <w:divBdr>
                                <w:top w:val="none" w:sz="0" w:space="0" w:color="auto"/>
                                <w:left w:val="none" w:sz="0" w:space="0" w:color="auto"/>
                                <w:bottom w:val="none" w:sz="0" w:space="0" w:color="auto"/>
                                <w:right w:val="none" w:sz="0" w:space="0" w:color="auto"/>
                              </w:divBdr>
                              <w:divsChild>
                                <w:div w:id="694043317">
                                  <w:marLeft w:val="0"/>
                                  <w:marRight w:val="0"/>
                                  <w:marTop w:val="0"/>
                                  <w:marBottom w:val="0"/>
                                  <w:divBdr>
                                    <w:top w:val="none" w:sz="0" w:space="0" w:color="auto"/>
                                    <w:left w:val="none" w:sz="0" w:space="0" w:color="auto"/>
                                    <w:bottom w:val="none" w:sz="0" w:space="0" w:color="auto"/>
                                    <w:right w:val="none" w:sz="0" w:space="0" w:color="auto"/>
                                  </w:divBdr>
                                </w:div>
                                <w:div w:id="1303078219">
                                  <w:marLeft w:val="0"/>
                                  <w:marRight w:val="0"/>
                                  <w:marTop w:val="0"/>
                                  <w:marBottom w:val="0"/>
                                  <w:divBdr>
                                    <w:top w:val="none" w:sz="0" w:space="0" w:color="auto"/>
                                    <w:left w:val="none" w:sz="0" w:space="0" w:color="auto"/>
                                    <w:bottom w:val="none" w:sz="0" w:space="0" w:color="auto"/>
                                    <w:right w:val="none" w:sz="0" w:space="0" w:color="auto"/>
                                  </w:divBdr>
                                  <w:divsChild>
                                    <w:div w:id="563293319">
                                      <w:marLeft w:val="-38"/>
                                      <w:marRight w:val="-38"/>
                                      <w:marTop w:val="0"/>
                                      <w:marBottom w:val="0"/>
                                      <w:divBdr>
                                        <w:top w:val="none" w:sz="0" w:space="0" w:color="auto"/>
                                        <w:left w:val="none" w:sz="0" w:space="0" w:color="auto"/>
                                        <w:bottom w:val="none" w:sz="0" w:space="0" w:color="auto"/>
                                        <w:right w:val="none" w:sz="0" w:space="0" w:color="auto"/>
                                      </w:divBdr>
                                      <w:divsChild>
                                        <w:div w:id="538972681">
                                          <w:marLeft w:val="0"/>
                                          <w:marRight w:val="0"/>
                                          <w:marTop w:val="0"/>
                                          <w:marBottom w:val="0"/>
                                          <w:divBdr>
                                            <w:top w:val="none" w:sz="0" w:space="0" w:color="auto"/>
                                            <w:left w:val="none" w:sz="0" w:space="0" w:color="auto"/>
                                            <w:bottom w:val="none" w:sz="0" w:space="0" w:color="auto"/>
                                            <w:right w:val="none" w:sz="0" w:space="0" w:color="auto"/>
                                          </w:divBdr>
                                          <w:divsChild>
                                            <w:div w:id="749960385">
                                              <w:marLeft w:val="0"/>
                                              <w:marRight w:val="0"/>
                                              <w:marTop w:val="0"/>
                                              <w:marBottom w:val="0"/>
                                              <w:divBdr>
                                                <w:top w:val="none" w:sz="0" w:space="0" w:color="auto"/>
                                                <w:left w:val="none" w:sz="0" w:space="0" w:color="auto"/>
                                                <w:bottom w:val="none" w:sz="0" w:space="0" w:color="auto"/>
                                                <w:right w:val="none" w:sz="0" w:space="0" w:color="auto"/>
                                              </w:divBdr>
                                            </w:div>
                                          </w:divsChild>
                                        </w:div>
                                        <w:div w:id="1496799792">
                                          <w:marLeft w:val="0"/>
                                          <w:marRight w:val="0"/>
                                          <w:marTop w:val="0"/>
                                          <w:marBottom w:val="0"/>
                                          <w:divBdr>
                                            <w:top w:val="none" w:sz="0" w:space="0" w:color="auto"/>
                                            <w:left w:val="none" w:sz="0" w:space="0" w:color="auto"/>
                                            <w:bottom w:val="none" w:sz="0" w:space="0" w:color="auto"/>
                                            <w:right w:val="none" w:sz="0" w:space="0" w:color="auto"/>
                                          </w:divBdr>
                                          <w:divsChild>
                                            <w:div w:id="51850299">
                                              <w:marLeft w:val="0"/>
                                              <w:marRight w:val="0"/>
                                              <w:marTop w:val="0"/>
                                              <w:marBottom w:val="0"/>
                                              <w:divBdr>
                                                <w:top w:val="none" w:sz="0" w:space="0" w:color="auto"/>
                                                <w:left w:val="none" w:sz="0" w:space="0" w:color="auto"/>
                                                <w:bottom w:val="none" w:sz="0" w:space="0" w:color="auto"/>
                                                <w:right w:val="none" w:sz="0" w:space="0" w:color="auto"/>
                                              </w:divBdr>
                                            </w:div>
                                          </w:divsChild>
                                        </w:div>
                                        <w:div w:id="1106270769">
                                          <w:marLeft w:val="0"/>
                                          <w:marRight w:val="0"/>
                                          <w:marTop w:val="0"/>
                                          <w:marBottom w:val="0"/>
                                          <w:divBdr>
                                            <w:top w:val="none" w:sz="0" w:space="0" w:color="auto"/>
                                            <w:left w:val="none" w:sz="0" w:space="0" w:color="auto"/>
                                            <w:bottom w:val="none" w:sz="0" w:space="0" w:color="auto"/>
                                            <w:right w:val="none" w:sz="0" w:space="0" w:color="auto"/>
                                          </w:divBdr>
                                          <w:divsChild>
                                            <w:div w:id="618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54785">
                      <w:marLeft w:val="0"/>
                      <w:marRight w:val="0"/>
                      <w:marTop w:val="0"/>
                      <w:marBottom w:val="0"/>
                      <w:divBdr>
                        <w:top w:val="none" w:sz="0" w:space="0" w:color="auto"/>
                        <w:left w:val="none" w:sz="0" w:space="0" w:color="auto"/>
                        <w:bottom w:val="none" w:sz="0" w:space="0" w:color="auto"/>
                        <w:right w:val="none" w:sz="0" w:space="0" w:color="auto"/>
                      </w:divBdr>
                      <w:divsChild>
                        <w:div w:id="119962987">
                          <w:marLeft w:val="0"/>
                          <w:marRight w:val="0"/>
                          <w:marTop w:val="0"/>
                          <w:marBottom w:val="0"/>
                          <w:divBdr>
                            <w:top w:val="none" w:sz="0" w:space="0" w:color="auto"/>
                            <w:left w:val="none" w:sz="0" w:space="0" w:color="auto"/>
                            <w:bottom w:val="none" w:sz="0" w:space="0" w:color="auto"/>
                            <w:right w:val="none" w:sz="0" w:space="0" w:color="auto"/>
                          </w:divBdr>
                          <w:divsChild>
                            <w:div w:id="407192451">
                              <w:marLeft w:val="-38"/>
                              <w:marRight w:val="-38"/>
                              <w:marTop w:val="0"/>
                              <w:marBottom w:val="0"/>
                              <w:divBdr>
                                <w:top w:val="none" w:sz="0" w:space="0" w:color="auto"/>
                                <w:left w:val="none" w:sz="0" w:space="0" w:color="auto"/>
                                <w:bottom w:val="none" w:sz="0" w:space="0" w:color="auto"/>
                                <w:right w:val="none" w:sz="0" w:space="0" w:color="auto"/>
                              </w:divBdr>
                              <w:divsChild>
                                <w:div w:id="1103571201">
                                  <w:marLeft w:val="0"/>
                                  <w:marRight w:val="0"/>
                                  <w:marTop w:val="0"/>
                                  <w:marBottom w:val="0"/>
                                  <w:divBdr>
                                    <w:top w:val="none" w:sz="0" w:space="0" w:color="auto"/>
                                    <w:left w:val="none" w:sz="0" w:space="0" w:color="auto"/>
                                    <w:bottom w:val="none" w:sz="0" w:space="0" w:color="auto"/>
                                    <w:right w:val="none" w:sz="0" w:space="0" w:color="auto"/>
                                  </w:divBdr>
                                  <w:divsChild>
                                    <w:div w:id="3180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7534">
              <w:marLeft w:val="0"/>
              <w:marRight w:val="0"/>
              <w:marTop w:val="0"/>
              <w:marBottom w:val="0"/>
              <w:divBdr>
                <w:top w:val="none" w:sz="0" w:space="0" w:color="auto"/>
                <w:left w:val="none" w:sz="0" w:space="0" w:color="auto"/>
                <w:bottom w:val="none" w:sz="0" w:space="0" w:color="auto"/>
                <w:right w:val="none" w:sz="0" w:space="0" w:color="auto"/>
              </w:divBdr>
              <w:divsChild>
                <w:div w:id="2005165399">
                  <w:marLeft w:val="-38"/>
                  <w:marRight w:val="-38"/>
                  <w:marTop w:val="0"/>
                  <w:marBottom w:val="0"/>
                  <w:divBdr>
                    <w:top w:val="none" w:sz="0" w:space="0" w:color="auto"/>
                    <w:left w:val="none" w:sz="0" w:space="0" w:color="auto"/>
                    <w:bottom w:val="none" w:sz="0" w:space="0" w:color="auto"/>
                    <w:right w:val="none" w:sz="0" w:space="0" w:color="auto"/>
                  </w:divBdr>
                  <w:divsChild>
                    <w:div w:id="2021423560">
                      <w:marLeft w:val="0"/>
                      <w:marRight w:val="0"/>
                      <w:marTop w:val="0"/>
                      <w:marBottom w:val="0"/>
                      <w:divBdr>
                        <w:top w:val="none" w:sz="0" w:space="0" w:color="auto"/>
                        <w:left w:val="none" w:sz="0" w:space="0" w:color="auto"/>
                        <w:bottom w:val="none" w:sz="0" w:space="0" w:color="auto"/>
                        <w:right w:val="none" w:sz="0" w:space="0" w:color="auto"/>
                      </w:divBdr>
                      <w:divsChild>
                        <w:div w:id="1285186767">
                          <w:marLeft w:val="0"/>
                          <w:marRight w:val="0"/>
                          <w:marTop w:val="0"/>
                          <w:marBottom w:val="0"/>
                          <w:divBdr>
                            <w:top w:val="none" w:sz="0" w:space="0" w:color="auto"/>
                            <w:left w:val="none" w:sz="0" w:space="0" w:color="auto"/>
                            <w:bottom w:val="none" w:sz="0" w:space="0" w:color="auto"/>
                            <w:right w:val="none" w:sz="0" w:space="0" w:color="auto"/>
                          </w:divBdr>
                          <w:divsChild>
                            <w:div w:id="1637177018">
                              <w:marLeft w:val="-38"/>
                              <w:marRight w:val="-38"/>
                              <w:marTop w:val="0"/>
                              <w:marBottom w:val="0"/>
                              <w:divBdr>
                                <w:top w:val="none" w:sz="0" w:space="0" w:color="auto"/>
                                <w:left w:val="none" w:sz="0" w:space="0" w:color="auto"/>
                                <w:bottom w:val="none" w:sz="0" w:space="0" w:color="auto"/>
                                <w:right w:val="none" w:sz="0" w:space="0" w:color="auto"/>
                              </w:divBdr>
                              <w:divsChild>
                                <w:div w:id="520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01">
                      <w:marLeft w:val="0"/>
                      <w:marRight w:val="0"/>
                      <w:marTop w:val="0"/>
                      <w:marBottom w:val="0"/>
                      <w:divBdr>
                        <w:top w:val="none" w:sz="0" w:space="0" w:color="auto"/>
                        <w:left w:val="none" w:sz="0" w:space="0" w:color="auto"/>
                        <w:bottom w:val="none" w:sz="0" w:space="0" w:color="auto"/>
                        <w:right w:val="none" w:sz="0" w:space="0" w:color="auto"/>
                      </w:divBdr>
                    </w:div>
                    <w:div w:id="224680105">
                      <w:marLeft w:val="0"/>
                      <w:marRight w:val="0"/>
                      <w:marTop w:val="0"/>
                      <w:marBottom w:val="0"/>
                      <w:divBdr>
                        <w:top w:val="none" w:sz="0" w:space="0" w:color="auto"/>
                        <w:left w:val="none" w:sz="0" w:space="0" w:color="auto"/>
                        <w:bottom w:val="none" w:sz="0" w:space="0" w:color="auto"/>
                        <w:right w:val="none" w:sz="0" w:space="0" w:color="auto"/>
                      </w:divBdr>
                      <w:divsChild>
                        <w:div w:id="1562249213">
                          <w:marLeft w:val="0"/>
                          <w:marRight w:val="0"/>
                          <w:marTop w:val="0"/>
                          <w:marBottom w:val="0"/>
                          <w:divBdr>
                            <w:top w:val="none" w:sz="0" w:space="0" w:color="auto"/>
                            <w:left w:val="none" w:sz="0" w:space="0" w:color="auto"/>
                            <w:bottom w:val="none" w:sz="0" w:space="0" w:color="auto"/>
                            <w:right w:val="none" w:sz="0" w:space="0" w:color="auto"/>
                          </w:divBdr>
                          <w:divsChild>
                            <w:div w:id="1720587708">
                              <w:marLeft w:val="-38"/>
                              <w:marRight w:val="-38"/>
                              <w:marTop w:val="0"/>
                              <w:marBottom w:val="0"/>
                              <w:divBdr>
                                <w:top w:val="none" w:sz="0" w:space="0" w:color="auto"/>
                                <w:left w:val="none" w:sz="0" w:space="0" w:color="auto"/>
                                <w:bottom w:val="none" w:sz="0" w:space="0" w:color="auto"/>
                                <w:right w:val="none" w:sz="0" w:space="0" w:color="auto"/>
                              </w:divBdr>
                              <w:divsChild>
                                <w:div w:id="1997759965">
                                  <w:marLeft w:val="0"/>
                                  <w:marRight w:val="0"/>
                                  <w:marTop w:val="0"/>
                                  <w:marBottom w:val="0"/>
                                  <w:divBdr>
                                    <w:top w:val="none" w:sz="0" w:space="0" w:color="auto"/>
                                    <w:left w:val="none" w:sz="0" w:space="0" w:color="auto"/>
                                    <w:bottom w:val="none" w:sz="0" w:space="0" w:color="auto"/>
                                    <w:right w:val="none" w:sz="0" w:space="0" w:color="auto"/>
                                  </w:divBdr>
                                  <w:divsChild>
                                    <w:div w:id="10337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115">
              <w:marLeft w:val="0"/>
              <w:marRight w:val="0"/>
              <w:marTop w:val="0"/>
              <w:marBottom w:val="0"/>
              <w:divBdr>
                <w:top w:val="none" w:sz="0" w:space="0" w:color="auto"/>
                <w:left w:val="none" w:sz="0" w:space="0" w:color="auto"/>
                <w:bottom w:val="none" w:sz="0" w:space="0" w:color="auto"/>
                <w:right w:val="none" w:sz="0" w:space="0" w:color="auto"/>
              </w:divBdr>
              <w:divsChild>
                <w:div w:id="1794402438">
                  <w:marLeft w:val="-38"/>
                  <w:marRight w:val="-38"/>
                  <w:marTop w:val="0"/>
                  <w:marBottom w:val="0"/>
                  <w:divBdr>
                    <w:top w:val="none" w:sz="0" w:space="0" w:color="auto"/>
                    <w:left w:val="none" w:sz="0" w:space="0" w:color="auto"/>
                    <w:bottom w:val="none" w:sz="0" w:space="0" w:color="auto"/>
                    <w:right w:val="none" w:sz="0" w:space="0" w:color="auto"/>
                  </w:divBdr>
                  <w:divsChild>
                    <w:div w:id="1369648193">
                      <w:marLeft w:val="0"/>
                      <w:marRight w:val="0"/>
                      <w:marTop w:val="0"/>
                      <w:marBottom w:val="0"/>
                      <w:divBdr>
                        <w:top w:val="none" w:sz="0" w:space="0" w:color="auto"/>
                        <w:left w:val="none" w:sz="0" w:space="0" w:color="auto"/>
                        <w:bottom w:val="none" w:sz="0" w:space="0" w:color="auto"/>
                        <w:right w:val="none" w:sz="0" w:space="0" w:color="auto"/>
                      </w:divBdr>
                      <w:divsChild>
                        <w:div w:id="1591045573">
                          <w:marLeft w:val="0"/>
                          <w:marRight w:val="0"/>
                          <w:marTop w:val="0"/>
                          <w:marBottom w:val="0"/>
                          <w:divBdr>
                            <w:top w:val="none" w:sz="0" w:space="0" w:color="auto"/>
                            <w:left w:val="none" w:sz="0" w:space="0" w:color="auto"/>
                            <w:bottom w:val="none" w:sz="0" w:space="0" w:color="auto"/>
                            <w:right w:val="none" w:sz="0" w:space="0" w:color="auto"/>
                          </w:divBdr>
                          <w:divsChild>
                            <w:div w:id="379597493">
                              <w:marLeft w:val="-38"/>
                              <w:marRight w:val="-38"/>
                              <w:marTop w:val="0"/>
                              <w:marBottom w:val="0"/>
                              <w:divBdr>
                                <w:top w:val="none" w:sz="0" w:space="0" w:color="auto"/>
                                <w:left w:val="none" w:sz="0" w:space="0" w:color="auto"/>
                                <w:bottom w:val="none" w:sz="0" w:space="0" w:color="auto"/>
                                <w:right w:val="none" w:sz="0" w:space="0" w:color="auto"/>
                              </w:divBdr>
                              <w:divsChild>
                                <w:div w:id="15333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32254">
                      <w:marLeft w:val="0"/>
                      <w:marRight w:val="0"/>
                      <w:marTop w:val="0"/>
                      <w:marBottom w:val="0"/>
                      <w:divBdr>
                        <w:top w:val="none" w:sz="0" w:space="0" w:color="auto"/>
                        <w:left w:val="none" w:sz="0" w:space="0" w:color="auto"/>
                        <w:bottom w:val="none" w:sz="0" w:space="0" w:color="auto"/>
                        <w:right w:val="none" w:sz="0" w:space="0" w:color="auto"/>
                      </w:divBdr>
                    </w:div>
                    <w:div w:id="259990063">
                      <w:marLeft w:val="0"/>
                      <w:marRight w:val="0"/>
                      <w:marTop w:val="0"/>
                      <w:marBottom w:val="0"/>
                      <w:divBdr>
                        <w:top w:val="none" w:sz="0" w:space="0" w:color="auto"/>
                        <w:left w:val="none" w:sz="0" w:space="0" w:color="auto"/>
                        <w:bottom w:val="none" w:sz="0" w:space="0" w:color="auto"/>
                        <w:right w:val="none" w:sz="0" w:space="0" w:color="auto"/>
                      </w:divBdr>
                      <w:divsChild>
                        <w:div w:id="979578517">
                          <w:marLeft w:val="0"/>
                          <w:marRight w:val="0"/>
                          <w:marTop w:val="0"/>
                          <w:marBottom w:val="0"/>
                          <w:divBdr>
                            <w:top w:val="none" w:sz="0" w:space="0" w:color="auto"/>
                            <w:left w:val="none" w:sz="0" w:space="0" w:color="auto"/>
                            <w:bottom w:val="none" w:sz="0" w:space="0" w:color="auto"/>
                            <w:right w:val="none" w:sz="0" w:space="0" w:color="auto"/>
                          </w:divBdr>
                          <w:divsChild>
                            <w:div w:id="885532936">
                              <w:marLeft w:val="-38"/>
                              <w:marRight w:val="-38"/>
                              <w:marTop w:val="0"/>
                              <w:marBottom w:val="0"/>
                              <w:divBdr>
                                <w:top w:val="none" w:sz="0" w:space="0" w:color="auto"/>
                                <w:left w:val="none" w:sz="0" w:space="0" w:color="auto"/>
                                <w:bottom w:val="none" w:sz="0" w:space="0" w:color="auto"/>
                                <w:right w:val="none" w:sz="0" w:space="0" w:color="auto"/>
                              </w:divBdr>
                              <w:divsChild>
                                <w:div w:id="934946767">
                                  <w:marLeft w:val="0"/>
                                  <w:marRight w:val="0"/>
                                  <w:marTop w:val="0"/>
                                  <w:marBottom w:val="0"/>
                                  <w:divBdr>
                                    <w:top w:val="none" w:sz="0" w:space="0" w:color="auto"/>
                                    <w:left w:val="none" w:sz="0" w:space="0" w:color="auto"/>
                                    <w:bottom w:val="none" w:sz="0" w:space="0" w:color="auto"/>
                                    <w:right w:val="none" w:sz="0" w:space="0" w:color="auto"/>
                                  </w:divBdr>
                                  <w:divsChild>
                                    <w:div w:id="9012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1854">
              <w:marLeft w:val="0"/>
              <w:marRight w:val="0"/>
              <w:marTop w:val="0"/>
              <w:marBottom w:val="0"/>
              <w:divBdr>
                <w:top w:val="none" w:sz="0" w:space="0" w:color="auto"/>
                <w:left w:val="none" w:sz="0" w:space="0" w:color="auto"/>
                <w:bottom w:val="none" w:sz="0" w:space="0" w:color="auto"/>
                <w:right w:val="none" w:sz="0" w:space="0" w:color="auto"/>
              </w:divBdr>
              <w:divsChild>
                <w:div w:id="1553888715">
                  <w:marLeft w:val="-150"/>
                  <w:marRight w:val="-150"/>
                  <w:marTop w:val="0"/>
                  <w:marBottom w:val="0"/>
                  <w:divBdr>
                    <w:top w:val="none" w:sz="0" w:space="0" w:color="auto"/>
                    <w:left w:val="none" w:sz="0" w:space="0" w:color="auto"/>
                    <w:bottom w:val="none" w:sz="0" w:space="0" w:color="auto"/>
                    <w:right w:val="none" w:sz="0" w:space="0" w:color="auto"/>
                  </w:divBdr>
                  <w:divsChild>
                    <w:div w:id="2046983599">
                      <w:marLeft w:val="0"/>
                      <w:marRight w:val="0"/>
                      <w:marTop w:val="0"/>
                      <w:marBottom w:val="0"/>
                      <w:divBdr>
                        <w:top w:val="none" w:sz="0" w:space="0" w:color="auto"/>
                        <w:left w:val="none" w:sz="0" w:space="0" w:color="auto"/>
                        <w:bottom w:val="none" w:sz="0" w:space="0" w:color="auto"/>
                        <w:right w:val="none" w:sz="0" w:space="0" w:color="auto"/>
                      </w:divBdr>
                      <w:divsChild>
                        <w:div w:id="13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4128">
      <w:bodyDiv w:val="1"/>
      <w:marLeft w:val="0"/>
      <w:marRight w:val="0"/>
      <w:marTop w:val="0"/>
      <w:marBottom w:val="0"/>
      <w:divBdr>
        <w:top w:val="none" w:sz="0" w:space="0" w:color="auto"/>
        <w:left w:val="none" w:sz="0" w:space="0" w:color="auto"/>
        <w:bottom w:val="none" w:sz="0" w:space="0" w:color="auto"/>
        <w:right w:val="none" w:sz="0" w:space="0" w:color="auto"/>
      </w:divBdr>
    </w:div>
    <w:div w:id="704212270">
      <w:bodyDiv w:val="1"/>
      <w:marLeft w:val="0"/>
      <w:marRight w:val="0"/>
      <w:marTop w:val="0"/>
      <w:marBottom w:val="0"/>
      <w:divBdr>
        <w:top w:val="none" w:sz="0" w:space="0" w:color="auto"/>
        <w:left w:val="none" w:sz="0" w:space="0" w:color="auto"/>
        <w:bottom w:val="none" w:sz="0" w:space="0" w:color="auto"/>
        <w:right w:val="none" w:sz="0" w:space="0" w:color="auto"/>
      </w:divBdr>
    </w:div>
    <w:div w:id="707490181">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801582252">
      <w:bodyDiv w:val="1"/>
      <w:marLeft w:val="0"/>
      <w:marRight w:val="0"/>
      <w:marTop w:val="0"/>
      <w:marBottom w:val="0"/>
      <w:divBdr>
        <w:top w:val="none" w:sz="0" w:space="0" w:color="auto"/>
        <w:left w:val="none" w:sz="0" w:space="0" w:color="auto"/>
        <w:bottom w:val="none" w:sz="0" w:space="0" w:color="auto"/>
        <w:right w:val="none" w:sz="0" w:space="0" w:color="auto"/>
      </w:divBdr>
    </w:div>
    <w:div w:id="892544881">
      <w:bodyDiv w:val="1"/>
      <w:marLeft w:val="0"/>
      <w:marRight w:val="0"/>
      <w:marTop w:val="0"/>
      <w:marBottom w:val="0"/>
      <w:divBdr>
        <w:top w:val="none" w:sz="0" w:space="0" w:color="auto"/>
        <w:left w:val="none" w:sz="0" w:space="0" w:color="auto"/>
        <w:bottom w:val="none" w:sz="0" w:space="0" w:color="auto"/>
        <w:right w:val="none" w:sz="0" w:space="0" w:color="auto"/>
      </w:divBdr>
    </w:div>
    <w:div w:id="982197473">
      <w:bodyDiv w:val="1"/>
      <w:marLeft w:val="0"/>
      <w:marRight w:val="0"/>
      <w:marTop w:val="0"/>
      <w:marBottom w:val="0"/>
      <w:divBdr>
        <w:top w:val="none" w:sz="0" w:space="0" w:color="auto"/>
        <w:left w:val="none" w:sz="0" w:space="0" w:color="auto"/>
        <w:bottom w:val="none" w:sz="0" w:space="0" w:color="auto"/>
        <w:right w:val="none" w:sz="0" w:space="0" w:color="auto"/>
      </w:divBdr>
    </w:div>
    <w:div w:id="1155220998">
      <w:bodyDiv w:val="1"/>
      <w:marLeft w:val="0"/>
      <w:marRight w:val="0"/>
      <w:marTop w:val="0"/>
      <w:marBottom w:val="0"/>
      <w:divBdr>
        <w:top w:val="none" w:sz="0" w:space="0" w:color="auto"/>
        <w:left w:val="none" w:sz="0" w:space="0" w:color="auto"/>
        <w:bottom w:val="none" w:sz="0" w:space="0" w:color="auto"/>
        <w:right w:val="none" w:sz="0" w:space="0" w:color="auto"/>
      </w:divBdr>
    </w:div>
    <w:div w:id="1155881260">
      <w:bodyDiv w:val="1"/>
      <w:marLeft w:val="0"/>
      <w:marRight w:val="0"/>
      <w:marTop w:val="0"/>
      <w:marBottom w:val="0"/>
      <w:divBdr>
        <w:top w:val="none" w:sz="0" w:space="0" w:color="auto"/>
        <w:left w:val="none" w:sz="0" w:space="0" w:color="auto"/>
        <w:bottom w:val="none" w:sz="0" w:space="0" w:color="auto"/>
        <w:right w:val="none" w:sz="0" w:space="0" w:color="auto"/>
      </w:divBdr>
    </w:div>
    <w:div w:id="1162545950">
      <w:bodyDiv w:val="1"/>
      <w:marLeft w:val="0"/>
      <w:marRight w:val="0"/>
      <w:marTop w:val="0"/>
      <w:marBottom w:val="0"/>
      <w:divBdr>
        <w:top w:val="none" w:sz="0" w:space="0" w:color="auto"/>
        <w:left w:val="none" w:sz="0" w:space="0" w:color="auto"/>
        <w:bottom w:val="none" w:sz="0" w:space="0" w:color="auto"/>
        <w:right w:val="none" w:sz="0" w:space="0" w:color="auto"/>
      </w:divBdr>
    </w:div>
    <w:div w:id="1183587552">
      <w:bodyDiv w:val="1"/>
      <w:marLeft w:val="0"/>
      <w:marRight w:val="0"/>
      <w:marTop w:val="0"/>
      <w:marBottom w:val="0"/>
      <w:divBdr>
        <w:top w:val="none" w:sz="0" w:space="0" w:color="auto"/>
        <w:left w:val="none" w:sz="0" w:space="0" w:color="auto"/>
        <w:bottom w:val="none" w:sz="0" w:space="0" w:color="auto"/>
        <w:right w:val="none" w:sz="0" w:space="0" w:color="auto"/>
      </w:divBdr>
      <w:divsChild>
        <w:div w:id="1721708439">
          <w:marLeft w:val="0"/>
          <w:marRight w:val="0"/>
          <w:marTop w:val="0"/>
          <w:marBottom w:val="0"/>
          <w:divBdr>
            <w:top w:val="none" w:sz="0" w:space="0" w:color="auto"/>
            <w:left w:val="none" w:sz="0" w:space="0" w:color="auto"/>
            <w:bottom w:val="none" w:sz="0" w:space="0" w:color="auto"/>
            <w:right w:val="none" w:sz="0" w:space="0" w:color="auto"/>
          </w:divBdr>
          <w:divsChild>
            <w:div w:id="484857181">
              <w:marLeft w:val="0"/>
              <w:marRight w:val="0"/>
              <w:marTop w:val="0"/>
              <w:marBottom w:val="0"/>
              <w:divBdr>
                <w:top w:val="none" w:sz="0" w:space="0" w:color="auto"/>
                <w:left w:val="none" w:sz="0" w:space="0" w:color="auto"/>
                <w:bottom w:val="none" w:sz="0" w:space="0" w:color="auto"/>
                <w:right w:val="none" w:sz="0" w:space="0" w:color="auto"/>
              </w:divBdr>
              <w:divsChild>
                <w:div w:id="2146777006">
                  <w:marLeft w:val="0"/>
                  <w:marRight w:val="0"/>
                  <w:marTop w:val="0"/>
                  <w:marBottom w:val="0"/>
                  <w:divBdr>
                    <w:top w:val="none" w:sz="0" w:space="0" w:color="auto"/>
                    <w:left w:val="none" w:sz="0" w:space="0" w:color="auto"/>
                    <w:bottom w:val="none" w:sz="0" w:space="0" w:color="auto"/>
                    <w:right w:val="none" w:sz="0" w:space="0" w:color="auto"/>
                  </w:divBdr>
                  <w:divsChild>
                    <w:div w:id="12304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8225">
      <w:bodyDiv w:val="1"/>
      <w:marLeft w:val="0"/>
      <w:marRight w:val="0"/>
      <w:marTop w:val="0"/>
      <w:marBottom w:val="0"/>
      <w:divBdr>
        <w:top w:val="none" w:sz="0" w:space="0" w:color="auto"/>
        <w:left w:val="none" w:sz="0" w:space="0" w:color="auto"/>
        <w:bottom w:val="none" w:sz="0" w:space="0" w:color="auto"/>
        <w:right w:val="none" w:sz="0" w:space="0" w:color="auto"/>
      </w:divBdr>
    </w:div>
    <w:div w:id="1227689983">
      <w:bodyDiv w:val="1"/>
      <w:marLeft w:val="0"/>
      <w:marRight w:val="0"/>
      <w:marTop w:val="0"/>
      <w:marBottom w:val="0"/>
      <w:divBdr>
        <w:top w:val="none" w:sz="0" w:space="0" w:color="auto"/>
        <w:left w:val="none" w:sz="0" w:space="0" w:color="auto"/>
        <w:bottom w:val="none" w:sz="0" w:space="0" w:color="auto"/>
        <w:right w:val="none" w:sz="0" w:space="0" w:color="auto"/>
      </w:divBdr>
    </w:div>
    <w:div w:id="1229464967">
      <w:bodyDiv w:val="1"/>
      <w:marLeft w:val="0"/>
      <w:marRight w:val="0"/>
      <w:marTop w:val="0"/>
      <w:marBottom w:val="0"/>
      <w:divBdr>
        <w:top w:val="none" w:sz="0" w:space="0" w:color="auto"/>
        <w:left w:val="none" w:sz="0" w:space="0" w:color="auto"/>
        <w:bottom w:val="none" w:sz="0" w:space="0" w:color="auto"/>
        <w:right w:val="none" w:sz="0" w:space="0" w:color="auto"/>
      </w:divBdr>
    </w:div>
    <w:div w:id="1247424446">
      <w:bodyDiv w:val="1"/>
      <w:marLeft w:val="0"/>
      <w:marRight w:val="0"/>
      <w:marTop w:val="0"/>
      <w:marBottom w:val="0"/>
      <w:divBdr>
        <w:top w:val="none" w:sz="0" w:space="0" w:color="auto"/>
        <w:left w:val="none" w:sz="0" w:space="0" w:color="auto"/>
        <w:bottom w:val="none" w:sz="0" w:space="0" w:color="auto"/>
        <w:right w:val="none" w:sz="0" w:space="0" w:color="auto"/>
      </w:divBdr>
    </w:div>
    <w:div w:id="1248266019">
      <w:bodyDiv w:val="1"/>
      <w:marLeft w:val="0"/>
      <w:marRight w:val="0"/>
      <w:marTop w:val="0"/>
      <w:marBottom w:val="0"/>
      <w:divBdr>
        <w:top w:val="none" w:sz="0" w:space="0" w:color="auto"/>
        <w:left w:val="none" w:sz="0" w:space="0" w:color="auto"/>
        <w:bottom w:val="none" w:sz="0" w:space="0" w:color="auto"/>
        <w:right w:val="none" w:sz="0" w:space="0" w:color="auto"/>
      </w:divBdr>
    </w:div>
    <w:div w:id="1253589411">
      <w:bodyDiv w:val="1"/>
      <w:marLeft w:val="0"/>
      <w:marRight w:val="0"/>
      <w:marTop w:val="0"/>
      <w:marBottom w:val="0"/>
      <w:divBdr>
        <w:top w:val="none" w:sz="0" w:space="0" w:color="auto"/>
        <w:left w:val="none" w:sz="0" w:space="0" w:color="auto"/>
        <w:bottom w:val="none" w:sz="0" w:space="0" w:color="auto"/>
        <w:right w:val="none" w:sz="0" w:space="0" w:color="auto"/>
      </w:divBdr>
    </w:div>
    <w:div w:id="1256745415">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273436981">
      <w:bodyDiv w:val="1"/>
      <w:marLeft w:val="0"/>
      <w:marRight w:val="0"/>
      <w:marTop w:val="0"/>
      <w:marBottom w:val="0"/>
      <w:divBdr>
        <w:top w:val="none" w:sz="0" w:space="0" w:color="auto"/>
        <w:left w:val="none" w:sz="0" w:space="0" w:color="auto"/>
        <w:bottom w:val="none" w:sz="0" w:space="0" w:color="auto"/>
        <w:right w:val="none" w:sz="0" w:space="0" w:color="auto"/>
      </w:divBdr>
    </w:div>
    <w:div w:id="1275020696">
      <w:bodyDiv w:val="1"/>
      <w:marLeft w:val="0"/>
      <w:marRight w:val="0"/>
      <w:marTop w:val="0"/>
      <w:marBottom w:val="0"/>
      <w:divBdr>
        <w:top w:val="none" w:sz="0" w:space="0" w:color="auto"/>
        <w:left w:val="none" w:sz="0" w:space="0" w:color="auto"/>
        <w:bottom w:val="none" w:sz="0" w:space="0" w:color="auto"/>
        <w:right w:val="none" w:sz="0" w:space="0" w:color="auto"/>
      </w:divBdr>
    </w:div>
    <w:div w:id="1297640095">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sChild>
        <w:div w:id="458182330">
          <w:marLeft w:val="0"/>
          <w:marRight w:val="0"/>
          <w:marTop w:val="0"/>
          <w:marBottom w:val="0"/>
          <w:divBdr>
            <w:top w:val="none" w:sz="0" w:space="0" w:color="auto"/>
            <w:left w:val="none" w:sz="0" w:space="0" w:color="auto"/>
            <w:bottom w:val="none" w:sz="0" w:space="0" w:color="auto"/>
            <w:right w:val="none" w:sz="0" w:space="0" w:color="auto"/>
          </w:divBdr>
          <w:divsChild>
            <w:div w:id="457143435">
              <w:marLeft w:val="0"/>
              <w:marRight w:val="0"/>
              <w:marTop w:val="0"/>
              <w:marBottom w:val="0"/>
              <w:divBdr>
                <w:top w:val="none" w:sz="0" w:space="0" w:color="auto"/>
                <w:left w:val="none" w:sz="0" w:space="0" w:color="auto"/>
                <w:bottom w:val="none" w:sz="0" w:space="0" w:color="auto"/>
                <w:right w:val="none" w:sz="0" w:space="0" w:color="auto"/>
              </w:divBdr>
              <w:divsChild>
                <w:div w:id="285309938">
                  <w:marLeft w:val="0"/>
                  <w:marRight w:val="0"/>
                  <w:marTop w:val="0"/>
                  <w:marBottom w:val="0"/>
                  <w:divBdr>
                    <w:top w:val="none" w:sz="0" w:space="0" w:color="auto"/>
                    <w:left w:val="none" w:sz="0" w:space="0" w:color="auto"/>
                    <w:bottom w:val="none" w:sz="0" w:space="0" w:color="auto"/>
                    <w:right w:val="none" w:sz="0" w:space="0" w:color="auto"/>
                  </w:divBdr>
                  <w:divsChild>
                    <w:div w:id="4827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826">
      <w:bodyDiv w:val="1"/>
      <w:marLeft w:val="0"/>
      <w:marRight w:val="0"/>
      <w:marTop w:val="0"/>
      <w:marBottom w:val="0"/>
      <w:divBdr>
        <w:top w:val="none" w:sz="0" w:space="0" w:color="auto"/>
        <w:left w:val="none" w:sz="0" w:space="0" w:color="auto"/>
        <w:bottom w:val="none" w:sz="0" w:space="0" w:color="auto"/>
        <w:right w:val="none" w:sz="0" w:space="0" w:color="auto"/>
      </w:divBdr>
      <w:divsChild>
        <w:div w:id="1268125866">
          <w:marLeft w:val="0"/>
          <w:marRight w:val="0"/>
          <w:marTop w:val="0"/>
          <w:marBottom w:val="0"/>
          <w:divBdr>
            <w:top w:val="none" w:sz="0" w:space="0" w:color="auto"/>
            <w:left w:val="none" w:sz="0" w:space="0" w:color="auto"/>
            <w:bottom w:val="none" w:sz="0" w:space="0" w:color="auto"/>
            <w:right w:val="none" w:sz="0" w:space="0" w:color="auto"/>
          </w:divBdr>
          <w:divsChild>
            <w:div w:id="1675839111">
              <w:marLeft w:val="0"/>
              <w:marRight w:val="0"/>
              <w:marTop w:val="0"/>
              <w:marBottom w:val="0"/>
              <w:divBdr>
                <w:top w:val="none" w:sz="0" w:space="0" w:color="auto"/>
                <w:left w:val="none" w:sz="0" w:space="0" w:color="auto"/>
                <w:bottom w:val="none" w:sz="0" w:space="0" w:color="auto"/>
                <w:right w:val="none" w:sz="0" w:space="0" w:color="auto"/>
              </w:divBdr>
              <w:divsChild>
                <w:div w:id="725685352">
                  <w:marLeft w:val="0"/>
                  <w:marRight w:val="0"/>
                  <w:marTop w:val="0"/>
                  <w:marBottom w:val="0"/>
                  <w:divBdr>
                    <w:top w:val="none" w:sz="0" w:space="0" w:color="auto"/>
                    <w:left w:val="none" w:sz="0" w:space="0" w:color="auto"/>
                    <w:bottom w:val="none" w:sz="0" w:space="0" w:color="auto"/>
                    <w:right w:val="none" w:sz="0" w:space="0" w:color="auto"/>
                  </w:divBdr>
                  <w:divsChild>
                    <w:div w:id="17515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525">
      <w:bodyDiv w:val="1"/>
      <w:marLeft w:val="0"/>
      <w:marRight w:val="0"/>
      <w:marTop w:val="0"/>
      <w:marBottom w:val="0"/>
      <w:divBdr>
        <w:top w:val="none" w:sz="0" w:space="0" w:color="auto"/>
        <w:left w:val="none" w:sz="0" w:space="0" w:color="auto"/>
        <w:bottom w:val="none" w:sz="0" w:space="0" w:color="auto"/>
        <w:right w:val="none" w:sz="0" w:space="0" w:color="auto"/>
      </w:divBdr>
      <w:divsChild>
        <w:div w:id="38601250">
          <w:marLeft w:val="0"/>
          <w:marRight w:val="0"/>
          <w:marTop w:val="0"/>
          <w:marBottom w:val="0"/>
          <w:divBdr>
            <w:top w:val="none" w:sz="0" w:space="0" w:color="auto"/>
            <w:left w:val="none" w:sz="0" w:space="0" w:color="auto"/>
            <w:bottom w:val="none" w:sz="0" w:space="0" w:color="auto"/>
            <w:right w:val="none" w:sz="0" w:space="0" w:color="auto"/>
          </w:divBdr>
          <w:divsChild>
            <w:div w:id="1713841652">
              <w:marLeft w:val="0"/>
              <w:marRight w:val="0"/>
              <w:marTop w:val="0"/>
              <w:marBottom w:val="0"/>
              <w:divBdr>
                <w:top w:val="none" w:sz="0" w:space="0" w:color="auto"/>
                <w:left w:val="none" w:sz="0" w:space="0" w:color="auto"/>
                <w:bottom w:val="none" w:sz="0" w:space="0" w:color="auto"/>
                <w:right w:val="none" w:sz="0" w:space="0" w:color="auto"/>
              </w:divBdr>
              <w:divsChild>
                <w:div w:id="757481546">
                  <w:marLeft w:val="0"/>
                  <w:marRight w:val="0"/>
                  <w:marTop w:val="0"/>
                  <w:marBottom w:val="0"/>
                  <w:divBdr>
                    <w:top w:val="none" w:sz="0" w:space="0" w:color="auto"/>
                    <w:left w:val="none" w:sz="0" w:space="0" w:color="auto"/>
                    <w:bottom w:val="none" w:sz="0" w:space="0" w:color="auto"/>
                    <w:right w:val="none" w:sz="0" w:space="0" w:color="auto"/>
                  </w:divBdr>
                  <w:divsChild>
                    <w:div w:id="2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5543">
      <w:bodyDiv w:val="1"/>
      <w:marLeft w:val="0"/>
      <w:marRight w:val="0"/>
      <w:marTop w:val="0"/>
      <w:marBottom w:val="0"/>
      <w:divBdr>
        <w:top w:val="none" w:sz="0" w:space="0" w:color="auto"/>
        <w:left w:val="none" w:sz="0" w:space="0" w:color="auto"/>
        <w:bottom w:val="none" w:sz="0" w:space="0" w:color="auto"/>
        <w:right w:val="none" w:sz="0" w:space="0" w:color="auto"/>
      </w:divBdr>
    </w:div>
    <w:div w:id="1532648972">
      <w:bodyDiv w:val="1"/>
      <w:marLeft w:val="0"/>
      <w:marRight w:val="0"/>
      <w:marTop w:val="0"/>
      <w:marBottom w:val="0"/>
      <w:divBdr>
        <w:top w:val="none" w:sz="0" w:space="0" w:color="auto"/>
        <w:left w:val="none" w:sz="0" w:space="0" w:color="auto"/>
        <w:bottom w:val="none" w:sz="0" w:space="0" w:color="auto"/>
        <w:right w:val="none" w:sz="0" w:space="0" w:color="auto"/>
      </w:divBdr>
      <w:divsChild>
        <w:div w:id="641160861">
          <w:marLeft w:val="0"/>
          <w:marRight w:val="0"/>
          <w:marTop w:val="0"/>
          <w:marBottom w:val="0"/>
          <w:divBdr>
            <w:top w:val="none" w:sz="0" w:space="0" w:color="auto"/>
            <w:left w:val="none" w:sz="0" w:space="0" w:color="auto"/>
            <w:bottom w:val="none" w:sz="0" w:space="0" w:color="auto"/>
            <w:right w:val="none" w:sz="0" w:space="0" w:color="auto"/>
          </w:divBdr>
          <w:divsChild>
            <w:div w:id="2082210517">
              <w:marLeft w:val="0"/>
              <w:marRight w:val="0"/>
              <w:marTop w:val="0"/>
              <w:marBottom w:val="0"/>
              <w:divBdr>
                <w:top w:val="none" w:sz="0" w:space="0" w:color="auto"/>
                <w:left w:val="none" w:sz="0" w:space="0" w:color="auto"/>
                <w:bottom w:val="none" w:sz="0" w:space="0" w:color="auto"/>
                <w:right w:val="none" w:sz="0" w:space="0" w:color="auto"/>
              </w:divBdr>
              <w:divsChild>
                <w:div w:id="1151674114">
                  <w:marLeft w:val="0"/>
                  <w:marRight w:val="0"/>
                  <w:marTop w:val="0"/>
                  <w:marBottom w:val="0"/>
                  <w:divBdr>
                    <w:top w:val="none" w:sz="0" w:space="0" w:color="auto"/>
                    <w:left w:val="none" w:sz="0" w:space="0" w:color="auto"/>
                    <w:bottom w:val="none" w:sz="0" w:space="0" w:color="auto"/>
                    <w:right w:val="none" w:sz="0" w:space="0" w:color="auto"/>
                  </w:divBdr>
                  <w:divsChild>
                    <w:div w:id="1292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201">
      <w:bodyDiv w:val="1"/>
      <w:marLeft w:val="0"/>
      <w:marRight w:val="0"/>
      <w:marTop w:val="0"/>
      <w:marBottom w:val="0"/>
      <w:divBdr>
        <w:top w:val="none" w:sz="0" w:space="0" w:color="auto"/>
        <w:left w:val="none" w:sz="0" w:space="0" w:color="auto"/>
        <w:bottom w:val="none" w:sz="0" w:space="0" w:color="auto"/>
        <w:right w:val="none" w:sz="0" w:space="0" w:color="auto"/>
      </w:divBdr>
    </w:div>
    <w:div w:id="1620603973">
      <w:bodyDiv w:val="1"/>
      <w:marLeft w:val="0"/>
      <w:marRight w:val="0"/>
      <w:marTop w:val="0"/>
      <w:marBottom w:val="0"/>
      <w:divBdr>
        <w:top w:val="none" w:sz="0" w:space="0" w:color="auto"/>
        <w:left w:val="none" w:sz="0" w:space="0" w:color="auto"/>
        <w:bottom w:val="none" w:sz="0" w:space="0" w:color="auto"/>
        <w:right w:val="none" w:sz="0" w:space="0" w:color="auto"/>
      </w:divBdr>
    </w:div>
    <w:div w:id="1675448694">
      <w:bodyDiv w:val="1"/>
      <w:marLeft w:val="0"/>
      <w:marRight w:val="0"/>
      <w:marTop w:val="0"/>
      <w:marBottom w:val="0"/>
      <w:divBdr>
        <w:top w:val="none" w:sz="0" w:space="0" w:color="auto"/>
        <w:left w:val="none" w:sz="0" w:space="0" w:color="auto"/>
        <w:bottom w:val="none" w:sz="0" w:space="0" w:color="auto"/>
        <w:right w:val="none" w:sz="0" w:space="0" w:color="auto"/>
      </w:divBdr>
    </w:div>
    <w:div w:id="1675571795">
      <w:bodyDiv w:val="1"/>
      <w:marLeft w:val="0"/>
      <w:marRight w:val="0"/>
      <w:marTop w:val="0"/>
      <w:marBottom w:val="0"/>
      <w:divBdr>
        <w:top w:val="none" w:sz="0" w:space="0" w:color="auto"/>
        <w:left w:val="none" w:sz="0" w:space="0" w:color="auto"/>
        <w:bottom w:val="none" w:sz="0" w:space="0" w:color="auto"/>
        <w:right w:val="none" w:sz="0" w:space="0" w:color="auto"/>
      </w:divBdr>
    </w:div>
    <w:div w:id="1722632275">
      <w:bodyDiv w:val="1"/>
      <w:marLeft w:val="0"/>
      <w:marRight w:val="0"/>
      <w:marTop w:val="0"/>
      <w:marBottom w:val="0"/>
      <w:divBdr>
        <w:top w:val="none" w:sz="0" w:space="0" w:color="auto"/>
        <w:left w:val="none" w:sz="0" w:space="0" w:color="auto"/>
        <w:bottom w:val="none" w:sz="0" w:space="0" w:color="auto"/>
        <w:right w:val="none" w:sz="0" w:space="0" w:color="auto"/>
      </w:divBdr>
    </w:div>
    <w:div w:id="1732118882">
      <w:bodyDiv w:val="1"/>
      <w:marLeft w:val="0"/>
      <w:marRight w:val="0"/>
      <w:marTop w:val="0"/>
      <w:marBottom w:val="0"/>
      <w:divBdr>
        <w:top w:val="none" w:sz="0" w:space="0" w:color="auto"/>
        <w:left w:val="none" w:sz="0" w:space="0" w:color="auto"/>
        <w:bottom w:val="none" w:sz="0" w:space="0" w:color="auto"/>
        <w:right w:val="none" w:sz="0" w:space="0" w:color="auto"/>
      </w:divBdr>
    </w:div>
    <w:div w:id="1789620533">
      <w:bodyDiv w:val="1"/>
      <w:marLeft w:val="0"/>
      <w:marRight w:val="0"/>
      <w:marTop w:val="0"/>
      <w:marBottom w:val="0"/>
      <w:divBdr>
        <w:top w:val="none" w:sz="0" w:space="0" w:color="auto"/>
        <w:left w:val="none" w:sz="0" w:space="0" w:color="auto"/>
        <w:bottom w:val="none" w:sz="0" w:space="0" w:color="auto"/>
        <w:right w:val="none" w:sz="0" w:space="0" w:color="auto"/>
      </w:divBdr>
      <w:divsChild>
        <w:div w:id="1122849230">
          <w:marLeft w:val="0"/>
          <w:marRight w:val="0"/>
          <w:marTop w:val="0"/>
          <w:marBottom w:val="0"/>
          <w:divBdr>
            <w:top w:val="none" w:sz="0" w:space="0" w:color="auto"/>
            <w:left w:val="none" w:sz="0" w:space="0" w:color="auto"/>
            <w:bottom w:val="none" w:sz="0" w:space="0" w:color="auto"/>
            <w:right w:val="none" w:sz="0" w:space="0" w:color="auto"/>
          </w:divBdr>
          <w:divsChild>
            <w:div w:id="317609661">
              <w:marLeft w:val="0"/>
              <w:marRight w:val="0"/>
              <w:marTop w:val="0"/>
              <w:marBottom w:val="0"/>
              <w:divBdr>
                <w:top w:val="none" w:sz="0" w:space="0" w:color="auto"/>
                <w:left w:val="none" w:sz="0" w:space="0" w:color="auto"/>
                <w:bottom w:val="none" w:sz="0" w:space="0" w:color="auto"/>
                <w:right w:val="none" w:sz="0" w:space="0" w:color="auto"/>
              </w:divBdr>
              <w:divsChild>
                <w:div w:id="1405298444">
                  <w:marLeft w:val="0"/>
                  <w:marRight w:val="0"/>
                  <w:marTop w:val="0"/>
                  <w:marBottom w:val="0"/>
                  <w:divBdr>
                    <w:top w:val="none" w:sz="0" w:space="0" w:color="auto"/>
                    <w:left w:val="none" w:sz="0" w:space="0" w:color="auto"/>
                    <w:bottom w:val="none" w:sz="0" w:space="0" w:color="auto"/>
                    <w:right w:val="none" w:sz="0" w:space="0" w:color="auto"/>
                  </w:divBdr>
                  <w:divsChild>
                    <w:div w:id="75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8100">
      <w:bodyDiv w:val="1"/>
      <w:marLeft w:val="0"/>
      <w:marRight w:val="0"/>
      <w:marTop w:val="0"/>
      <w:marBottom w:val="0"/>
      <w:divBdr>
        <w:top w:val="none" w:sz="0" w:space="0" w:color="auto"/>
        <w:left w:val="none" w:sz="0" w:space="0" w:color="auto"/>
        <w:bottom w:val="none" w:sz="0" w:space="0" w:color="auto"/>
        <w:right w:val="none" w:sz="0" w:space="0" w:color="auto"/>
      </w:divBdr>
    </w:div>
    <w:div w:id="1873886123">
      <w:bodyDiv w:val="1"/>
      <w:marLeft w:val="0"/>
      <w:marRight w:val="0"/>
      <w:marTop w:val="0"/>
      <w:marBottom w:val="0"/>
      <w:divBdr>
        <w:top w:val="none" w:sz="0" w:space="0" w:color="auto"/>
        <w:left w:val="none" w:sz="0" w:space="0" w:color="auto"/>
        <w:bottom w:val="none" w:sz="0" w:space="0" w:color="auto"/>
        <w:right w:val="none" w:sz="0" w:space="0" w:color="auto"/>
      </w:divBdr>
    </w:div>
    <w:div w:id="1971784959">
      <w:bodyDiv w:val="1"/>
      <w:marLeft w:val="0"/>
      <w:marRight w:val="0"/>
      <w:marTop w:val="0"/>
      <w:marBottom w:val="0"/>
      <w:divBdr>
        <w:top w:val="none" w:sz="0" w:space="0" w:color="auto"/>
        <w:left w:val="none" w:sz="0" w:space="0" w:color="auto"/>
        <w:bottom w:val="none" w:sz="0" w:space="0" w:color="auto"/>
        <w:right w:val="none" w:sz="0" w:space="0" w:color="auto"/>
      </w:divBdr>
    </w:div>
    <w:div w:id="1977877423">
      <w:bodyDiv w:val="1"/>
      <w:marLeft w:val="0"/>
      <w:marRight w:val="0"/>
      <w:marTop w:val="0"/>
      <w:marBottom w:val="0"/>
      <w:divBdr>
        <w:top w:val="none" w:sz="0" w:space="0" w:color="auto"/>
        <w:left w:val="none" w:sz="0" w:space="0" w:color="auto"/>
        <w:bottom w:val="none" w:sz="0" w:space="0" w:color="auto"/>
        <w:right w:val="none" w:sz="0" w:space="0" w:color="auto"/>
      </w:divBdr>
    </w:div>
    <w:div w:id="1994142972">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54887827">
      <w:bodyDiv w:val="1"/>
      <w:marLeft w:val="0"/>
      <w:marRight w:val="0"/>
      <w:marTop w:val="0"/>
      <w:marBottom w:val="0"/>
      <w:divBdr>
        <w:top w:val="none" w:sz="0" w:space="0" w:color="auto"/>
        <w:left w:val="none" w:sz="0" w:space="0" w:color="auto"/>
        <w:bottom w:val="none" w:sz="0" w:space="0" w:color="auto"/>
        <w:right w:val="none" w:sz="0" w:space="0" w:color="auto"/>
      </w:divBdr>
      <w:divsChild>
        <w:div w:id="622076994">
          <w:marLeft w:val="0"/>
          <w:marRight w:val="0"/>
          <w:marTop w:val="0"/>
          <w:marBottom w:val="0"/>
          <w:divBdr>
            <w:top w:val="none" w:sz="0" w:space="0" w:color="auto"/>
            <w:left w:val="none" w:sz="0" w:space="0" w:color="auto"/>
            <w:bottom w:val="none" w:sz="0" w:space="0" w:color="auto"/>
            <w:right w:val="none" w:sz="0" w:space="0" w:color="auto"/>
          </w:divBdr>
          <w:divsChild>
            <w:div w:id="1345087026">
              <w:marLeft w:val="0"/>
              <w:marRight w:val="0"/>
              <w:marTop w:val="0"/>
              <w:marBottom w:val="0"/>
              <w:divBdr>
                <w:top w:val="none" w:sz="0" w:space="0" w:color="auto"/>
                <w:left w:val="none" w:sz="0" w:space="0" w:color="auto"/>
                <w:bottom w:val="none" w:sz="0" w:space="0" w:color="auto"/>
                <w:right w:val="none" w:sz="0" w:space="0" w:color="auto"/>
              </w:divBdr>
              <w:divsChild>
                <w:div w:id="742219898">
                  <w:marLeft w:val="0"/>
                  <w:marRight w:val="0"/>
                  <w:marTop w:val="0"/>
                  <w:marBottom w:val="0"/>
                  <w:divBdr>
                    <w:top w:val="none" w:sz="0" w:space="0" w:color="auto"/>
                    <w:left w:val="none" w:sz="0" w:space="0" w:color="auto"/>
                    <w:bottom w:val="none" w:sz="0" w:space="0" w:color="auto"/>
                    <w:right w:val="none" w:sz="0" w:space="0" w:color="auto"/>
                  </w:divBdr>
                  <w:divsChild>
                    <w:div w:id="4307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2706">
      <w:bodyDiv w:val="1"/>
      <w:marLeft w:val="0"/>
      <w:marRight w:val="0"/>
      <w:marTop w:val="0"/>
      <w:marBottom w:val="0"/>
      <w:divBdr>
        <w:top w:val="none" w:sz="0" w:space="0" w:color="auto"/>
        <w:left w:val="none" w:sz="0" w:space="0" w:color="auto"/>
        <w:bottom w:val="none" w:sz="0" w:space="0" w:color="auto"/>
        <w:right w:val="none" w:sz="0" w:space="0" w:color="auto"/>
      </w:divBdr>
    </w:div>
    <w:div w:id="2067103304">
      <w:bodyDiv w:val="1"/>
      <w:marLeft w:val="0"/>
      <w:marRight w:val="0"/>
      <w:marTop w:val="0"/>
      <w:marBottom w:val="0"/>
      <w:divBdr>
        <w:top w:val="none" w:sz="0" w:space="0" w:color="auto"/>
        <w:left w:val="none" w:sz="0" w:space="0" w:color="auto"/>
        <w:bottom w:val="none" w:sz="0" w:space="0" w:color="auto"/>
        <w:right w:val="none" w:sz="0" w:space="0" w:color="auto"/>
      </w:divBdr>
    </w:div>
    <w:div w:id="2075350788">
      <w:bodyDiv w:val="1"/>
      <w:marLeft w:val="0"/>
      <w:marRight w:val="0"/>
      <w:marTop w:val="0"/>
      <w:marBottom w:val="0"/>
      <w:divBdr>
        <w:top w:val="none" w:sz="0" w:space="0" w:color="auto"/>
        <w:left w:val="none" w:sz="0" w:space="0" w:color="auto"/>
        <w:bottom w:val="none" w:sz="0" w:space="0" w:color="auto"/>
        <w:right w:val="none" w:sz="0" w:space="0" w:color="auto"/>
      </w:divBdr>
    </w:div>
    <w:div w:id="20968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10658</Words>
  <Characters>60757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Maculins</dc:creator>
  <cp:keywords/>
  <dc:description/>
  <cp:lastModifiedBy>Aditya Murthy</cp:lastModifiedBy>
  <cp:revision>6</cp:revision>
  <dcterms:created xsi:type="dcterms:W3CDTF">2020-05-18T04:36:00Z</dcterms:created>
  <dcterms:modified xsi:type="dcterms:W3CDTF">2021-04-07T03:11:00Z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citations="20" publications="21"/&gt;&lt;/info&gt;PAPERS2_INFO_END</vt:lpwstr>
  </property>
  <property fmtid="{D5CDD505-2E9C-101B-9397-08002B2CF9AE}" pid="3" name="ZOTERO_PREF_1">
    <vt:lpwstr>&lt;data data-version="3" zotero-version="5.0.87"&gt;&lt;session id="cSIZVUBf"/&gt;&lt;style id="http://www.zotero.org/styles/cell" hasBibliography="1" bibliographyStyleHasBeenSet="1"/&gt;&lt;prefs&gt;&lt;pref name="fieldType" value="Field"/&gt;&lt;pref name="automaticJournalAbbreviation</vt:lpwstr>
  </property>
  <property fmtid="{D5CDD505-2E9C-101B-9397-08002B2CF9AE}" pid="4" name="ZOTERO_PREF_2">
    <vt:lpwstr>s" value="true"/&gt;&lt;/prefs&gt;&lt;/data&gt;</vt:lpwstr>
  </property>
</Properties>
</file>