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1FE" w:rsidRPr="001D5352" w:rsidRDefault="00D91FEC" w:rsidP="001D5352">
      <w:pPr>
        <w:pStyle w:val="FigureCaption"/>
        <w:rPr>
          <w:rFonts w:ascii="Arial" w:hAnsi="Arial" w:cs="Arial"/>
          <w:sz w:val="22"/>
        </w:rPr>
      </w:pPr>
      <w:r>
        <w:rPr>
          <w:rFonts w:ascii="Arial" w:hAnsi="Arial" w:cs="Arial"/>
          <w:b/>
          <w:sz w:val="22"/>
        </w:rPr>
        <w:t>Supplementa</w:t>
      </w:r>
      <w:r w:rsidR="00F17956">
        <w:rPr>
          <w:rFonts w:ascii="Arial" w:hAnsi="Arial" w:cs="Arial"/>
          <w:b/>
          <w:sz w:val="22"/>
        </w:rPr>
        <w:t>ry</w:t>
      </w:r>
      <w:r>
        <w:rPr>
          <w:rFonts w:ascii="Arial" w:hAnsi="Arial" w:cs="Arial"/>
          <w:b/>
          <w:sz w:val="22"/>
        </w:rPr>
        <w:t xml:space="preserve"> Table 1A</w:t>
      </w:r>
      <w:r w:rsidR="00F81849" w:rsidRPr="00F81849">
        <w:rPr>
          <w:rFonts w:ascii="Arial" w:hAnsi="Arial" w:cs="Arial"/>
          <w:b/>
          <w:sz w:val="22"/>
        </w:rPr>
        <w:t xml:space="preserve">. </w:t>
      </w:r>
      <w:r w:rsidR="00F81849" w:rsidRPr="00F81849">
        <w:rPr>
          <w:rFonts w:ascii="Arial" w:hAnsi="Arial" w:cs="Arial"/>
          <w:sz w:val="22"/>
        </w:rPr>
        <w:t>LMER model formula and summary output for multiband peaky speech in experiment 1.</w:t>
      </w:r>
    </w:p>
    <w:tbl>
      <w:tblPr>
        <w:tblW w:w="9180" w:type="dxa"/>
        <w:tblLook w:val="04A0" w:firstRow="1" w:lastRow="0" w:firstColumn="1" w:lastColumn="0" w:noHBand="0" w:noVBand="1"/>
      </w:tblPr>
      <w:tblGrid>
        <w:gridCol w:w="2790"/>
        <w:gridCol w:w="1260"/>
        <w:gridCol w:w="767"/>
        <w:gridCol w:w="868"/>
        <w:gridCol w:w="1123"/>
        <w:gridCol w:w="473"/>
        <w:gridCol w:w="1899"/>
      </w:tblGrid>
      <w:tr w:rsidR="00C74B15" w:rsidRPr="00C74B15" w:rsidTr="00C74B15">
        <w:trPr>
          <w:trHeight w:val="615"/>
        </w:trPr>
        <w:tc>
          <w:tcPr>
            <w:tcW w:w="918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Formula: log10(latency – a) ~ wave + log10(frequency) + wave:log10(frequency) + (1 + log10(frequency) | subject)</w:t>
            </w:r>
          </w:p>
        </w:tc>
      </w:tr>
      <w:tr w:rsidR="00C74B15" w:rsidRPr="00C74B15" w:rsidTr="00C74B15">
        <w:trPr>
          <w:trHeight w:val="285"/>
        </w:trPr>
        <w:tc>
          <w:tcPr>
            <w:tcW w:w="9180" w:type="dxa"/>
            <w:gridSpan w:val="7"/>
            <w:tcBorders>
              <w:top w:val="single" w:sz="4" w:space="0" w:color="auto"/>
              <w:left w:val="nil"/>
              <w:bottom w:val="single" w:sz="4" w:space="0" w:color="auto"/>
              <w:right w:val="nil"/>
            </w:tcBorders>
            <w:shd w:val="clear" w:color="auto" w:fill="auto"/>
            <w:noWrap/>
            <w:vAlign w:val="center"/>
            <w:hideMark/>
          </w:tcPr>
          <w:p w:rsidR="00C74B15" w:rsidRPr="00C74B15" w:rsidRDefault="00C74B15" w:rsidP="00C74B15">
            <w:pPr>
              <w:spacing w:after="0"/>
              <w:jc w:val="center"/>
              <w:rPr>
                <w:rFonts w:eastAsia="Times New Roman"/>
                <w:b/>
                <w:bCs/>
                <w:i/>
                <w:iCs/>
              </w:rPr>
            </w:pPr>
            <w:r w:rsidRPr="00C74B15">
              <w:rPr>
                <w:rFonts w:eastAsia="Times New Roman"/>
                <w:b/>
                <w:bCs/>
                <w:i/>
                <w:iCs/>
              </w:rPr>
              <w:t>High-pass 30 Hz</w:t>
            </w:r>
          </w:p>
        </w:tc>
      </w:tr>
      <w:tr w:rsidR="00C74B15" w:rsidRPr="00C74B15" w:rsidTr="00C74B15">
        <w:trPr>
          <w:trHeight w:val="300"/>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b/>
                <w:bCs/>
              </w:rPr>
            </w:pPr>
            <w:r w:rsidRPr="00C74B15">
              <w:rPr>
                <w:rFonts w:eastAsia="Times New Roman"/>
                <w:b/>
                <w:bCs/>
              </w:rPr>
              <w:t>Coefficient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 xml:space="preserve"> Estimate</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SEM</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t</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Power (95% CI)</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(Intercept)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0.596</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51.5</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0.516</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0.011</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45.1</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0.667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57.6</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0.776</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66.2</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-0.413</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-18.6</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0.189</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0.027</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7.0</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0.262</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0.028</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9.3</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0.317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0.029</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11.0</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9180" w:type="dxa"/>
            <w:gridSpan w:val="7"/>
            <w:tcBorders>
              <w:top w:val="single" w:sz="4" w:space="0" w:color="auto"/>
              <w:left w:val="nil"/>
              <w:bottom w:val="single" w:sz="4" w:space="0" w:color="auto"/>
              <w:right w:val="nil"/>
            </w:tcBorders>
            <w:shd w:val="clear" w:color="auto" w:fill="auto"/>
            <w:noWrap/>
            <w:vAlign w:val="center"/>
            <w:hideMark/>
          </w:tcPr>
          <w:p w:rsidR="00C74B15" w:rsidRPr="00C74B15" w:rsidRDefault="00C74B15" w:rsidP="00C74B15">
            <w:pPr>
              <w:spacing w:after="0"/>
              <w:jc w:val="center"/>
              <w:rPr>
                <w:rFonts w:eastAsia="Times New Roman"/>
                <w:b/>
                <w:bCs/>
                <w:i/>
                <w:iCs/>
              </w:rPr>
            </w:pPr>
            <w:r w:rsidRPr="00C74B15">
              <w:rPr>
                <w:rFonts w:eastAsia="Times New Roman"/>
                <w:b/>
                <w:bCs/>
                <w:i/>
                <w:iCs/>
              </w:rPr>
              <w:t>High-pass 150 Hz</w:t>
            </w:r>
          </w:p>
        </w:tc>
      </w:tr>
      <w:tr w:rsidR="00C74B15" w:rsidRPr="00C74B15" w:rsidTr="00C74B15">
        <w:trPr>
          <w:trHeight w:val="300"/>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b/>
                <w:bCs/>
              </w:rPr>
            </w:pPr>
            <w:r w:rsidRPr="00C74B15">
              <w:rPr>
                <w:rFonts w:eastAsia="Times New Roman"/>
                <w:b/>
                <w:bCs/>
              </w:rPr>
              <w:t>Coefficient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 xml:space="preserve"> Estimate</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SEM</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t</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Power (95% CI)</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(Intercept)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0.597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50.9</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0.487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40.7</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0.638</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51.5</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0.761</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0.013</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60.6</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-0.373</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0.022</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-16.8</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0.137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0.030</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4.6</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0.99 (0.98, 1.00)</w:t>
            </w:r>
          </w:p>
        </w:tc>
      </w:tr>
      <w:tr w:rsidR="00C74B15" w:rsidRPr="00C74B15" w:rsidTr="00C74B15">
        <w:trPr>
          <w:trHeight w:val="285"/>
        </w:trPr>
        <w:tc>
          <w:tcPr>
            <w:tcW w:w="279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0.173</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0.034</w:t>
            </w:r>
          </w:p>
        </w:tc>
        <w:tc>
          <w:tcPr>
            <w:tcW w:w="868"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5.1</w:t>
            </w:r>
          </w:p>
        </w:tc>
        <w:tc>
          <w:tcPr>
            <w:tcW w:w="112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nil"/>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85"/>
        </w:trPr>
        <w:tc>
          <w:tcPr>
            <w:tcW w:w="279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Pa:log10(frequency)</w:t>
            </w:r>
          </w:p>
        </w:tc>
        <w:tc>
          <w:tcPr>
            <w:tcW w:w="126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0.217</w:t>
            </w:r>
          </w:p>
        </w:tc>
        <w:tc>
          <w:tcPr>
            <w:tcW w:w="767"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0.035</w:t>
            </w:r>
          </w:p>
        </w:tc>
        <w:tc>
          <w:tcPr>
            <w:tcW w:w="868"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6.1</w:t>
            </w:r>
          </w:p>
        </w:tc>
        <w:tc>
          <w:tcPr>
            <w:tcW w:w="1123"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473"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center"/>
              <w:rPr>
                <w:rFonts w:eastAsia="Times New Roman"/>
              </w:rPr>
            </w:pPr>
            <w:r w:rsidRPr="00C74B15">
              <w:rPr>
                <w:rFonts w:eastAsia="Times New Roman"/>
              </w:rPr>
              <w:t>***</w:t>
            </w:r>
          </w:p>
        </w:tc>
        <w:tc>
          <w:tcPr>
            <w:tcW w:w="1894"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C74B15" w:rsidTr="00C74B15">
        <w:trPr>
          <w:trHeight w:val="255"/>
        </w:trPr>
        <w:tc>
          <w:tcPr>
            <w:tcW w:w="918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*p &lt; 0.05, **p &lt; 0.01, ***p &lt; 0.001, CI = confidence interval</w:t>
            </w:r>
          </w:p>
        </w:tc>
      </w:tr>
      <w:tr w:rsidR="00C74B15" w:rsidRPr="00C74B15" w:rsidTr="00C74B15">
        <w:trPr>
          <w:trHeight w:val="1200"/>
        </w:trPr>
        <w:tc>
          <w:tcPr>
            <w:tcW w:w="918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Note 1: (Intercept) and log10(frequency) are terms that refer to the default condition, which is wave V. Estimates of interactions of these terms reflect the change compared to the default. Frequency was the center frequency of the band normalized to 1 kHz (i.e., center frequency / 1000)</w:t>
            </w:r>
          </w:p>
        </w:tc>
      </w:tr>
      <w:tr w:rsidR="00C74B15" w:rsidRPr="00C74B15" w:rsidTr="00C74B15">
        <w:trPr>
          <w:trHeight w:val="960"/>
        </w:trPr>
        <w:tc>
          <w:tcPr>
            <w:tcW w:w="918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 xml:space="preserve">Note 2: a = </w:t>
            </w:r>
            <w:proofErr w:type="spellStart"/>
            <w:r w:rsidRPr="00C74B15">
              <w:rPr>
                <w:rFonts w:eastAsia="Times New Roman"/>
              </w:rPr>
              <w:t>τ</w:t>
            </w:r>
            <w:r w:rsidRPr="00C74B15">
              <w:rPr>
                <w:rFonts w:eastAsia="Times New Roman"/>
                <w:vertAlign w:val="subscript"/>
              </w:rPr>
              <w:t>synaptic</w:t>
            </w:r>
            <w:proofErr w:type="spellEnd"/>
            <w:r w:rsidRPr="00C74B15">
              <w:rPr>
                <w:rFonts w:eastAsia="Times New Roman"/>
              </w:rPr>
              <w:t xml:space="preserve"> + </w:t>
            </w:r>
            <w:proofErr w:type="spellStart"/>
            <w:r w:rsidRPr="00C74B15">
              <w:rPr>
                <w:rFonts w:eastAsia="Times New Roman"/>
              </w:rPr>
              <w:t>τ</w:t>
            </w:r>
            <w:r w:rsidRPr="00C74B15">
              <w:rPr>
                <w:rFonts w:eastAsia="Times New Roman"/>
                <w:vertAlign w:val="subscript"/>
              </w:rPr>
              <w:t>I</w:t>
            </w:r>
            <w:proofErr w:type="spellEnd"/>
            <w:r w:rsidRPr="00C74B15">
              <w:rPr>
                <w:rFonts w:eastAsia="Times New Roman"/>
                <w:vertAlign w:val="subscript"/>
              </w:rPr>
              <w:t>-V</w:t>
            </w:r>
            <w:r w:rsidRPr="00C74B15">
              <w:rPr>
                <w:rFonts w:eastAsia="Times New Roman"/>
              </w:rPr>
              <w:t xml:space="preserve">. </w:t>
            </w:r>
            <w:proofErr w:type="spellStart"/>
            <w:r w:rsidRPr="00C74B15">
              <w:rPr>
                <w:rFonts w:eastAsia="Times New Roman"/>
              </w:rPr>
              <w:t>τ</w:t>
            </w:r>
            <w:r w:rsidRPr="00C74B15">
              <w:rPr>
                <w:rFonts w:eastAsia="Times New Roman"/>
                <w:vertAlign w:val="subscript"/>
              </w:rPr>
              <w:t>synaptic</w:t>
            </w:r>
            <w:proofErr w:type="spellEnd"/>
            <w:r w:rsidRPr="00C74B15">
              <w:rPr>
                <w:rFonts w:eastAsia="Times New Roman"/>
              </w:rPr>
              <w:t xml:space="preserve"> = 0.8 and </w:t>
            </w:r>
            <w:proofErr w:type="spellStart"/>
            <w:r w:rsidRPr="00C74B15">
              <w:rPr>
                <w:rFonts w:eastAsia="Times New Roman"/>
              </w:rPr>
              <w:t>τ</w:t>
            </w:r>
            <w:r w:rsidRPr="00C74B15">
              <w:rPr>
                <w:rFonts w:eastAsia="Times New Roman"/>
                <w:vertAlign w:val="subscript"/>
              </w:rPr>
              <w:t>I</w:t>
            </w:r>
            <w:proofErr w:type="spellEnd"/>
            <w:r w:rsidRPr="00C74B15">
              <w:rPr>
                <w:rFonts w:eastAsia="Times New Roman"/>
                <w:vertAlign w:val="subscript"/>
              </w:rPr>
              <w:t>-V</w:t>
            </w:r>
            <w:r w:rsidRPr="00C74B15">
              <w:rPr>
                <w:rFonts w:eastAsia="Times New Roman"/>
              </w:rPr>
              <w:t xml:space="preserve"> was the subjects’ I-V interval from their response to peaky broadband speech. If a subject did not have a wave I then the mean I-V was used for that subject.</w:t>
            </w:r>
          </w:p>
        </w:tc>
      </w:tr>
      <w:tr w:rsidR="00C74B15" w:rsidRPr="00C74B15" w:rsidTr="00C74B15">
        <w:trPr>
          <w:trHeight w:val="615"/>
        </w:trPr>
        <w:tc>
          <w:tcPr>
            <w:tcW w:w="918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Note 3: There were insufficient numbers of subjects with identifiable waves I and III for the 0−1 kHz and 1−2 kHz bands, so these waves were not included in the full model.</w:t>
            </w:r>
          </w:p>
        </w:tc>
      </w:tr>
    </w:tbl>
    <w:p w:rsidR="00FC6F71" w:rsidRDefault="00FC6F71">
      <w:pPr>
        <w:spacing w:after="160" w:line="259" w:lineRule="auto"/>
      </w:pPr>
    </w:p>
    <w:p w:rsidR="00146F02" w:rsidRDefault="00146F02">
      <w:pPr>
        <w:spacing w:after="160" w:line="259" w:lineRule="auto"/>
        <w:rPr>
          <w:b/>
          <w:i/>
        </w:rPr>
      </w:pPr>
      <w:r>
        <w:rPr>
          <w:b/>
        </w:rPr>
        <w:br w:type="page"/>
      </w:r>
    </w:p>
    <w:p w:rsidR="008031FE" w:rsidRPr="00B12BCC" w:rsidRDefault="00D91FEC" w:rsidP="008031FE">
      <w:pPr>
        <w:pStyle w:val="FigureCaption"/>
        <w:rPr>
          <w:rFonts w:ascii="Arial" w:hAnsi="Arial" w:cs="Arial"/>
          <w:sz w:val="22"/>
        </w:rPr>
      </w:pPr>
      <w:r>
        <w:rPr>
          <w:rFonts w:ascii="Arial" w:hAnsi="Arial" w:cs="Arial"/>
          <w:b/>
          <w:sz w:val="22"/>
        </w:rPr>
        <w:lastRenderedPageBreak/>
        <w:t>Supplementa</w:t>
      </w:r>
      <w:r w:rsidR="00F17956">
        <w:rPr>
          <w:rFonts w:ascii="Arial" w:hAnsi="Arial" w:cs="Arial"/>
          <w:b/>
          <w:sz w:val="22"/>
        </w:rPr>
        <w:t>ry</w:t>
      </w:r>
      <w:r>
        <w:rPr>
          <w:rFonts w:ascii="Arial" w:hAnsi="Arial" w:cs="Arial"/>
          <w:b/>
          <w:sz w:val="22"/>
        </w:rPr>
        <w:t xml:space="preserve"> Table 1B</w:t>
      </w:r>
      <w:r w:rsidR="008031FE" w:rsidRPr="00B12BCC">
        <w:rPr>
          <w:rFonts w:ascii="Arial" w:hAnsi="Arial" w:cs="Arial"/>
          <w:b/>
          <w:sz w:val="22"/>
        </w:rPr>
        <w:t xml:space="preserve">. </w:t>
      </w:r>
      <w:r w:rsidR="008031FE" w:rsidRPr="00B12BCC">
        <w:rPr>
          <w:rFonts w:ascii="Arial" w:hAnsi="Arial" w:cs="Arial"/>
          <w:sz w:val="22"/>
        </w:rPr>
        <w:t>LMER model formula and summary output for multiband peaky speech in experiment 2.</w:t>
      </w:r>
    </w:p>
    <w:tbl>
      <w:tblPr>
        <w:tblW w:w="9710" w:type="dxa"/>
        <w:tblLook w:val="04A0" w:firstRow="1" w:lastRow="0" w:firstColumn="1" w:lastColumn="0" w:noHBand="0" w:noVBand="1"/>
      </w:tblPr>
      <w:tblGrid>
        <w:gridCol w:w="3420"/>
        <w:gridCol w:w="1260"/>
        <w:gridCol w:w="767"/>
        <w:gridCol w:w="853"/>
        <w:gridCol w:w="990"/>
        <w:gridCol w:w="540"/>
        <w:gridCol w:w="1880"/>
      </w:tblGrid>
      <w:tr w:rsidR="00C74B15" w:rsidRPr="00C74B15" w:rsidTr="000904E1">
        <w:trPr>
          <w:trHeight w:val="630"/>
        </w:trPr>
        <w:tc>
          <w:tcPr>
            <w:tcW w:w="9710" w:type="dxa"/>
            <w:gridSpan w:val="7"/>
            <w:tcBorders>
              <w:top w:val="nil"/>
              <w:left w:val="nil"/>
              <w:bottom w:val="nil"/>
              <w:right w:val="nil"/>
            </w:tcBorders>
            <w:shd w:val="clear" w:color="auto" w:fill="auto"/>
            <w:vAlign w:val="center"/>
            <w:hideMark/>
          </w:tcPr>
          <w:p w:rsidR="00C74B15" w:rsidRPr="00C74B15" w:rsidRDefault="0043131C" w:rsidP="00C74B15">
            <w:pPr>
              <w:spacing w:after="0"/>
              <w:rPr>
                <w:rFonts w:eastAsia="Times New Roman"/>
              </w:rPr>
            </w:pPr>
            <w:r w:rsidRPr="000904E1">
              <w:t xml:space="preserve"> </w:t>
            </w:r>
            <w:r w:rsidR="00C74B15" w:rsidRPr="00C74B15">
              <w:rPr>
                <w:rFonts w:eastAsia="Times New Roman"/>
              </w:rPr>
              <w:t xml:space="preserve">Formula: log10(latency – a) ~ wave + narrator + log10(frequency) + </w:t>
            </w:r>
            <w:proofErr w:type="spellStart"/>
            <w:r w:rsidR="00C74B15" w:rsidRPr="00C74B15">
              <w:rPr>
                <w:rFonts w:eastAsia="Times New Roman"/>
              </w:rPr>
              <w:t>wave:narrator</w:t>
            </w:r>
            <w:proofErr w:type="spellEnd"/>
            <w:r w:rsidR="00C74B15" w:rsidRPr="00C74B15">
              <w:rPr>
                <w:rFonts w:eastAsia="Times New Roman"/>
              </w:rPr>
              <w:t xml:space="preserve"> + wave:log10(frequency) + narrator:log10(frequency) + (1 + log10(frequency) | subject)</w:t>
            </w:r>
          </w:p>
        </w:tc>
      </w:tr>
      <w:tr w:rsidR="00C74B15" w:rsidRPr="00C74B15" w:rsidTr="000904E1">
        <w:trPr>
          <w:trHeight w:val="285"/>
        </w:trPr>
        <w:tc>
          <w:tcPr>
            <w:tcW w:w="9710" w:type="dxa"/>
            <w:gridSpan w:val="7"/>
            <w:tcBorders>
              <w:top w:val="single" w:sz="4" w:space="0" w:color="auto"/>
              <w:left w:val="nil"/>
              <w:bottom w:val="single" w:sz="4" w:space="0" w:color="auto"/>
              <w:right w:val="nil"/>
            </w:tcBorders>
            <w:shd w:val="clear" w:color="auto" w:fill="auto"/>
            <w:noWrap/>
            <w:vAlign w:val="center"/>
            <w:hideMark/>
          </w:tcPr>
          <w:p w:rsidR="00C74B15" w:rsidRPr="00C74B15" w:rsidRDefault="00C74B15" w:rsidP="00C74B15">
            <w:pPr>
              <w:spacing w:after="0"/>
              <w:jc w:val="center"/>
              <w:rPr>
                <w:rFonts w:eastAsia="Times New Roman"/>
                <w:b/>
                <w:bCs/>
                <w:i/>
                <w:iCs/>
              </w:rPr>
            </w:pPr>
            <w:r w:rsidRPr="00C74B15">
              <w:rPr>
                <w:rFonts w:eastAsia="Times New Roman"/>
                <w:b/>
                <w:bCs/>
                <w:i/>
                <w:iCs/>
              </w:rPr>
              <w:t>High-pass 30 Hz</w:t>
            </w:r>
          </w:p>
        </w:tc>
      </w:tr>
      <w:tr w:rsidR="00C74B15" w:rsidRPr="000904E1" w:rsidTr="00C74B15">
        <w:trPr>
          <w:trHeight w:val="300"/>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b/>
                <w:bCs/>
              </w:rPr>
            </w:pPr>
            <w:r w:rsidRPr="00C74B15">
              <w:rPr>
                <w:rFonts w:eastAsia="Times New Roman"/>
                <w:b/>
                <w:bCs/>
              </w:rPr>
              <w:t>Coefficient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 xml:space="preserve"> Estimate</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SEM</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t</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b/>
                <w:bCs/>
              </w:rPr>
            </w:pPr>
            <w:r w:rsidRPr="00C74B15">
              <w:rPr>
                <w:rFonts w:eastAsia="Times New Roman"/>
                <w:b/>
                <w:bCs/>
              </w:rPr>
              <w:t>Power (95% CI)</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(Intercept)</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0.646</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0.018</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35.4</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female narrator</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-0.051</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0.015</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-3.3</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0.93 (0.92, 0.95)</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0.472</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0.017</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27.6</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0.607</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0.018</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31.7</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0.733</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0.018</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41.0</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-0.488</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0.028</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-15.9</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female narrator:log10(frequency)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0.008</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0.024</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0.3</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0.732</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0.06 (0.05, 0.08)</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0.201</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0.032</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6.2</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Na:log10(frequency)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0.271</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0.033</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8.1</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Pa:log10(frequency)</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0.300</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0.034</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8.8</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&lt; 0.001</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 ***</w:t>
            </w: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1.00 (0.99, 1.00)</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wave P0:female narrator</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0.035</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0.021</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1.7</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0.087</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0.42 (0.39, 0.45)</w:t>
            </w:r>
          </w:p>
        </w:tc>
      </w:tr>
      <w:tr w:rsidR="00C74B15" w:rsidRPr="000904E1" w:rsidTr="00C74B15">
        <w:trPr>
          <w:trHeight w:val="285"/>
        </w:trPr>
        <w:tc>
          <w:tcPr>
            <w:tcW w:w="3420" w:type="dxa"/>
            <w:tcBorders>
              <w:top w:val="nil"/>
              <w:left w:val="nil"/>
              <w:bottom w:val="nil"/>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wave </w:t>
            </w:r>
            <w:proofErr w:type="spellStart"/>
            <w:r w:rsidRPr="00C74B15">
              <w:rPr>
                <w:rFonts w:eastAsia="Times New Roman"/>
              </w:rPr>
              <w:t>Na:female</w:t>
            </w:r>
            <w:proofErr w:type="spellEnd"/>
            <w:r w:rsidRPr="00C74B15">
              <w:rPr>
                <w:rFonts w:eastAsia="Times New Roman"/>
              </w:rPr>
              <w:t xml:space="preserve"> narrator</w:t>
            </w:r>
          </w:p>
        </w:tc>
        <w:tc>
          <w:tcPr>
            <w:tcW w:w="126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0.020</w:t>
            </w:r>
          </w:p>
        </w:tc>
        <w:tc>
          <w:tcPr>
            <w:tcW w:w="767"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0.021</w:t>
            </w:r>
          </w:p>
        </w:tc>
        <w:tc>
          <w:tcPr>
            <w:tcW w:w="853"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0.9</w:t>
            </w:r>
          </w:p>
        </w:tc>
        <w:tc>
          <w:tcPr>
            <w:tcW w:w="99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0.346</w:t>
            </w:r>
          </w:p>
        </w:tc>
        <w:tc>
          <w:tcPr>
            <w:tcW w:w="54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p>
        </w:tc>
        <w:tc>
          <w:tcPr>
            <w:tcW w:w="1880" w:type="dxa"/>
            <w:tcBorders>
              <w:top w:val="nil"/>
              <w:left w:val="nil"/>
              <w:bottom w:val="nil"/>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0.18 (0.16, 0.20)</w:t>
            </w:r>
          </w:p>
        </w:tc>
      </w:tr>
      <w:tr w:rsidR="00C74B15" w:rsidRPr="000904E1" w:rsidTr="00C74B15">
        <w:trPr>
          <w:trHeight w:val="285"/>
        </w:trPr>
        <w:tc>
          <w:tcPr>
            <w:tcW w:w="342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xml:space="preserve">wave </w:t>
            </w:r>
            <w:proofErr w:type="spellStart"/>
            <w:r w:rsidRPr="00C74B15">
              <w:rPr>
                <w:rFonts w:eastAsia="Times New Roman"/>
              </w:rPr>
              <w:t>Pa:female</w:t>
            </w:r>
            <w:proofErr w:type="spellEnd"/>
            <w:r w:rsidRPr="00C74B15">
              <w:rPr>
                <w:rFonts w:eastAsia="Times New Roman"/>
              </w:rPr>
              <w:t xml:space="preserve"> narrator</w:t>
            </w:r>
          </w:p>
        </w:tc>
        <w:tc>
          <w:tcPr>
            <w:tcW w:w="126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0.009</w:t>
            </w:r>
          </w:p>
        </w:tc>
        <w:tc>
          <w:tcPr>
            <w:tcW w:w="767"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0.021</w:t>
            </w:r>
          </w:p>
        </w:tc>
        <w:tc>
          <w:tcPr>
            <w:tcW w:w="853"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0.4</w:t>
            </w:r>
          </w:p>
        </w:tc>
        <w:tc>
          <w:tcPr>
            <w:tcW w:w="99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0.685</w:t>
            </w:r>
          </w:p>
        </w:tc>
        <w:tc>
          <w:tcPr>
            <w:tcW w:w="54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rPr>
                <w:rFonts w:eastAsia="Times New Roman"/>
              </w:rPr>
            </w:pPr>
            <w:r w:rsidRPr="00C74B15">
              <w:rPr>
                <w:rFonts w:eastAsia="Times New Roman"/>
              </w:rPr>
              <w:t> </w:t>
            </w:r>
          </w:p>
        </w:tc>
        <w:tc>
          <w:tcPr>
            <w:tcW w:w="1880" w:type="dxa"/>
            <w:tcBorders>
              <w:top w:val="nil"/>
              <w:left w:val="nil"/>
              <w:bottom w:val="single" w:sz="4" w:space="0" w:color="auto"/>
              <w:right w:val="nil"/>
            </w:tcBorders>
            <w:shd w:val="clear" w:color="auto" w:fill="auto"/>
            <w:noWrap/>
            <w:vAlign w:val="bottom"/>
            <w:hideMark/>
          </w:tcPr>
          <w:p w:rsidR="00C74B15" w:rsidRPr="00C74B15" w:rsidRDefault="00C74B15" w:rsidP="00C74B15">
            <w:pPr>
              <w:spacing w:after="0"/>
              <w:jc w:val="right"/>
              <w:rPr>
                <w:rFonts w:eastAsia="Times New Roman"/>
              </w:rPr>
            </w:pPr>
            <w:r w:rsidRPr="00C74B15">
              <w:rPr>
                <w:rFonts w:eastAsia="Times New Roman"/>
              </w:rPr>
              <w:t>0.07 (0.06, 0.09)</w:t>
            </w:r>
          </w:p>
        </w:tc>
      </w:tr>
      <w:tr w:rsidR="00C74B15" w:rsidRPr="00C74B15" w:rsidTr="000904E1">
        <w:trPr>
          <w:trHeight w:val="255"/>
        </w:trPr>
        <w:tc>
          <w:tcPr>
            <w:tcW w:w="971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*p &lt; 0.05, **p &lt; 0.01, ***p &lt; 0.001, CI = confidence interval</w:t>
            </w:r>
          </w:p>
        </w:tc>
      </w:tr>
      <w:tr w:rsidR="00C74B15" w:rsidRPr="00C74B15" w:rsidTr="000904E1">
        <w:trPr>
          <w:trHeight w:val="1305"/>
        </w:trPr>
        <w:tc>
          <w:tcPr>
            <w:tcW w:w="971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Note 1: (Intercept) and log10(frequency) are terms that refer to the default condition, which is wave V for the male narrator. Estimates of interactions of these terms reflect the change compared to the default. Frequency was the center frequency of the band normalized to 1 kHz (i.e., center frequency / 1000)</w:t>
            </w:r>
          </w:p>
        </w:tc>
      </w:tr>
      <w:tr w:rsidR="00C74B15" w:rsidRPr="00C74B15" w:rsidTr="000904E1">
        <w:trPr>
          <w:trHeight w:val="1080"/>
        </w:trPr>
        <w:tc>
          <w:tcPr>
            <w:tcW w:w="971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 xml:space="preserve">Note 2: a = </w:t>
            </w:r>
            <w:proofErr w:type="spellStart"/>
            <w:r w:rsidRPr="00C74B15">
              <w:rPr>
                <w:rFonts w:eastAsia="Times New Roman"/>
              </w:rPr>
              <w:t>τ</w:t>
            </w:r>
            <w:r w:rsidRPr="00C74B15">
              <w:rPr>
                <w:rFonts w:eastAsia="Times New Roman"/>
                <w:vertAlign w:val="subscript"/>
              </w:rPr>
              <w:t>synaptic</w:t>
            </w:r>
            <w:proofErr w:type="spellEnd"/>
            <w:r w:rsidRPr="00C74B15">
              <w:rPr>
                <w:rFonts w:eastAsia="Times New Roman"/>
              </w:rPr>
              <w:t xml:space="preserve"> + </w:t>
            </w:r>
            <w:proofErr w:type="spellStart"/>
            <w:r w:rsidRPr="00C74B15">
              <w:rPr>
                <w:rFonts w:eastAsia="Times New Roman"/>
              </w:rPr>
              <w:t>τ</w:t>
            </w:r>
            <w:r w:rsidRPr="00C74B15">
              <w:rPr>
                <w:rFonts w:eastAsia="Times New Roman"/>
                <w:vertAlign w:val="subscript"/>
              </w:rPr>
              <w:t>I</w:t>
            </w:r>
            <w:proofErr w:type="spellEnd"/>
            <w:r w:rsidRPr="00C74B15">
              <w:rPr>
                <w:rFonts w:eastAsia="Times New Roman"/>
                <w:vertAlign w:val="subscript"/>
              </w:rPr>
              <w:t>-V</w:t>
            </w:r>
            <w:r w:rsidRPr="00C74B15">
              <w:rPr>
                <w:rFonts w:eastAsia="Times New Roman"/>
              </w:rPr>
              <w:t xml:space="preserve">. </w:t>
            </w:r>
            <w:proofErr w:type="spellStart"/>
            <w:r w:rsidRPr="00C74B15">
              <w:rPr>
                <w:rFonts w:eastAsia="Times New Roman"/>
              </w:rPr>
              <w:t>τ</w:t>
            </w:r>
            <w:r w:rsidRPr="00C74B15">
              <w:rPr>
                <w:rFonts w:eastAsia="Times New Roman"/>
                <w:vertAlign w:val="subscript"/>
              </w:rPr>
              <w:t>synaptic</w:t>
            </w:r>
            <w:proofErr w:type="spellEnd"/>
            <w:r w:rsidRPr="00C74B15">
              <w:rPr>
                <w:rFonts w:eastAsia="Times New Roman"/>
              </w:rPr>
              <w:t xml:space="preserve"> = 0.8 and </w:t>
            </w:r>
            <w:proofErr w:type="spellStart"/>
            <w:r w:rsidRPr="00C74B15">
              <w:rPr>
                <w:rFonts w:eastAsia="Times New Roman"/>
              </w:rPr>
              <w:t>τ</w:t>
            </w:r>
            <w:r w:rsidRPr="00C74B15">
              <w:rPr>
                <w:rFonts w:eastAsia="Times New Roman"/>
                <w:vertAlign w:val="subscript"/>
              </w:rPr>
              <w:t>I</w:t>
            </w:r>
            <w:proofErr w:type="spellEnd"/>
            <w:r w:rsidRPr="00C74B15">
              <w:rPr>
                <w:rFonts w:eastAsia="Times New Roman"/>
                <w:vertAlign w:val="subscript"/>
              </w:rPr>
              <w:t>-V</w:t>
            </w:r>
            <w:r w:rsidRPr="00C74B15">
              <w:rPr>
                <w:rFonts w:eastAsia="Times New Roman"/>
              </w:rPr>
              <w:t xml:space="preserve"> was the subjects’ I-V interval from their response to peaky broadband speech. If a subject did not have a wave I then the mean I-V was used for that subject.</w:t>
            </w:r>
          </w:p>
        </w:tc>
      </w:tr>
      <w:tr w:rsidR="00C74B15" w:rsidRPr="00C74B15" w:rsidTr="000904E1">
        <w:trPr>
          <w:trHeight w:val="765"/>
        </w:trPr>
        <w:tc>
          <w:tcPr>
            <w:tcW w:w="9710" w:type="dxa"/>
            <w:gridSpan w:val="7"/>
            <w:tcBorders>
              <w:top w:val="nil"/>
              <w:left w:val="nil"/>
              <w:bottom w:val="nil"/>
              <w:right w:val="nil"/>
            </w:tcBorders>
            <w:shd w:val="clear" w:color="auto" w:fill="auto"/>
            <w:vAlign w:val="center"/>
            <w:hideMark/>
          </w:tcPr>
          <w:p w:rsidR="00C74B15" w:rsidRPr="00C74B15" w:rsidRDefault="00C74B15" w:rsidP="00C74B15">
            <w:pPr>
              <w:spacing w:after="0"/>
              <w:rPr>
                <w:rFonts w:eastAsia="Times New Roman"/>
              </w:rPr>
            </w:pPr>
            <w:r w:rsidRPr="00C74B15">
              <w:rPr>
                <w:rFonts w:eastAsia="Times New Roman"/>
              </w:rPr>
              <w:t>Note 3: There were insufficient numbers of subjects with identifiable waves I and III for the 0−1 kHz and 1−2 kHz bands, so these waves were not included in the full model.</w:t>
            </w:r>
          </w:p>
        </w:tc>
      </w:tr>
    </w:tbl>
    <w:p w:rsidR="008031FE" w:rsidRDefault="008031FE">
      <w:pPr>
        <w:spacing w:after="160" w:line="259" w:lineRule="auto"/>
      </w:pPr>
      <w:r>
        <w:br w:type="page"/>
      </w:r>
    </w:p>
    <w:p w:rsidR="008031FE" w:rsidRPr="00F22502" w:rsidRDefault="00F17956" w:rsidP="008031FE">
      <w:pPr>
        <w:pStyle w:val="FigureCaption"/>
        <w:rPr>
          <w:rFonts w:ascii="Arial" w:hAnsi="Arial" w:cs="Arial"/>
          <w:sz w:val="22"/>
        </w:rPr>
      </w:pPr>
      <w:r>
        <w:rPr>
          <w:rFonts w:ascii="Arial" w:hAnsi="Arial" w:cs="Arial"/>
          <w:b/>
          <w:sz w:val="22"/>
        </w:rPr>
        <w:lastRenderedPageBreak/>
        <w:t>Supplementary</w:t>
      </w:r>
      <w:r w:rsidR="00D91FEC">
        <w:rPr>
          <w:rFonts w:ascii="Arial" w:hAnsi="Arial" w:cs="Arial"/>
          <w:b/>
          <w:sz w:val="22"/>
        </w:rPr>
        <w:t xml:space="preserve"> Table 1C</w:t>
      </w:r>
      <w:r w:rsidR="008031FE" w:rsidRPr="00F22502">
        <w:rPr>
          <w:rFonts w:ascii="Arial" w:hAnsi="Arial" w:cs="Arial"/>
          <w:b/>
          <w:sz w:val="22"/>
        </w:rPr>
        <w:t xml:space="preserve">. </w:t>
      </w:r>
      <w:r w:rsidR="008031FE" w:rsidRPr="00F22502">
        <w:rPr>
          <w:rFonts w:ascii="Arial" w:hAnsi="Arial" w:cs="Arial"/>
          <w:sz w:val="22"/>
        </w:rPr>
        <w:t>LMER model formula and summary output for multiband peaky speech in experiment 3.</w:t>
      </w:r>
    </w:p>
    <w:tbl>
      <w:tblPr>
        <w:tblW w:w="9630" w:type="dxa"/>
        <w:tblLook w:val="04A0" w:firstRow="1" w:lastRow="0" w:firstColumn="1" w:lastColumn="0" w:noHBand="0" w:noVBand="1"/>
      </w:tblPr>
      <w:tblGrid>
        <w:gridCol w:w="3600"/>
        <w:gridCol w:w="1134"/>
        <w:gridCol w:w="767"/>
        <w:gridCol w:w="799"/>
        <w:gridCol w:w="990"/>
        <w:gridCol w:w="473"/>
        <w:gridCol w:w="1867"/>
      </w:tblGrid>
      <w:tr w:rsidR="00146F02" w:rsidRPr="00146F02" w:rsidTr="00146F02">
        <w:trPr>
          <w:trHeight w:val="690"/>
        </w:trPr>
        <w:tc>
          <w:tcPr>
            <w:tcW w:w="9630" w:type="dxa"/>
            <w:gridSpan w:val="7"/>
            <w:tcBorders>
              <w:top w:val="nil"/>
              <w:left w:val="nil"/>
              <w:bottom w:val="nil"/>
              <w:right w:val="nil"/>
            </w:tcBorders>
            <w:shd w:val="clear" w:color="auto" w:fill="auto"/>
            <w:vAlign w:val="center"/>
            <w:hideMark/>
          </w:tcPr>
          <w:p w:rsidR="00146F02" w:rsidRPr="00146F02" w:rsidRDefault="00146F02" w:rsidP="00146F02">
            <w:pPr>
              <w:spacing w:after="0"/>
              <w:rPr>
                <w:rFonts w:eastAsia="Times New Roman"/>
              </w:rPr>
            </w:pPr>
            <w:r w:rsidRPr="00146F02">
              <w:rPr>
                <w:rFonts w:eastAsia="Times New Roman"/>
              </w:rPr>
              <w:t>Formula: log10(latency – a) ~ narrator + log10(frequency) + narrator:log10(frequency) + (1 + log10(frequency) | subject)</w:t>
            </w:r>
          </w:p>
        </w:tc>
      </w:tr>
      <w:tr w:rsidR="00146F02" w:rsidRPr="00146F02" w:rsidTr="00146F02">
        <w:trPr>
          <w:trHeight w:val="285"/>
        </w:trPr>
        <w:tc>
          <w:tcPr>
            <w:tcW w:w="9630" w:type="dxa"/>
            <w:gridSpan w:val="7"/>
            <w:tcBorders>
              <w:top w:val="single" w:sz="4" w:space="0" w:color="auto"/>
              <w:left w:val="nil"/>
              <w:bottom w:val="single" w:sz="4" w:space="0" w:color="auto"/>
              <w:right w:val="nil"/>
            </w:tcBorders>
            <w:shd w:val="clear" w:color="auto" w:fill="auto"/>
            <w:noWrap/>
            <w:vAlign w:val="center"/>
            <w:hideMark/>
          </w:tcPr>
          <w:p w:rsidR="00146F02" w:rsidRPr="00146F02" w:rsidRDefault="00146F02" w:rsidP="00146F02">
            <w:pPr>
              <w:spacing w:after="0"/>
              <w:jc w:val="center"/>
              <w:rPr>
                <w:rFonts w:eastAsia="Times New Roman"/>
                <w:b/>
                <w:bCs/>
                <w:i/>
                <w:iCs/>
              </w:rPr>
            </w:pPr>
            <w:r w:rsidRPr="00146F02">
              <w:rPr>
                <w:rFonts w:eastAsia="Times New Roman"/>
                <w:b/>
                <w:bCs/>
                <w:i/>
                <w:iCs/>
              </w:rPr>
              <w:t>High-pass 30 Hz</w:t>
            </w:r>
          </w:p>
        </w:tc>
      </w:tr>
      <w:tr w:rsidR="00146F02" w:rsidRPr="00146F02" w:rsidTr="00146F02">
        <w:trPr>
          <w:trHeight w:val="300"/>
        </w:trPr>
        <w:tc>
          <w:tcPr>
            <w:tcW w:w="3600"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b/>
                <w:bCs/>
              </w:rPr>
            </w:pPr>
            <w:r w:rsidRPr="00146F02">
              <w:rPr>
                <w:rFonts w:eastAsia="Times New Roman"/>
                <w:b/>
                <w:bCs/>
              </w:rPr>
              <w:t>Coefficient</w:t>
            </w:r>
          </w:p>
        </w:tc>
        <w:tc>
          <w:tcPr>
            <w:tcW w:w="1134"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r w:rsidRPr="00146F02">
              <w:rPr>
                <w:rFonts w:eastAsia="Times New Roman"/>
                <w:b/>
                <w:bCs/>
              </w:rPr>
              <w:t xml:space="preserve"> Estimate</w:t>
            </w:r>
          </w:p>
        </w:tc>
        <w:tc>
          <w:tcPr>
            <w:tcW w:w="7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r w:rsidRPr="00146F02">
              <w:rPr>
                <w:rFonts w:eastAsia="Times New Roman"/>
                <w:b/>
                <w:bCs/>
              </w:rPr>
              <w:t>SEM</w:t>
            </w:r>
          </w:p>
        </w:tc>
        <w:tc>
          <w:tcPr>
            <w:tcW w:w="799"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r w:rsidRPr="00146F02">
              <w:rPr>
                <w:rFonts w:eastAsia="Times New Roman"/>
                <w:b/>
                <w:bCs/>
              </w:rPr>
              <w:t>t</w:t>
            </w:r>
          </w:p>
        </w:tc>
        <w:tc>
          <w:tcPr>
            <w:tcW w:w="990"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r w:rsidRPr="00146F02">
              <w:rPr>
                <w:rFonts w:eastAsia="Times New Roman"/>
                <w:b/>
                <w:bCs/>
              </w:rPr>
              <w:t>p</w:t>
            </w:r>
          </w:p>
        </w:tc>
        <w:tc>
          <w:tcPr>
            <w:tcW w:w="473"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p>
        </w:tc>
        <w:tc>
          <w:tcPr>
            <w:tcW w:w="18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b/>
                <w:bCs/>
              </w:rPr>
            </w:pPr>
            <w:r w:rsidRPr="00146F02">
              <w:rPr>
                <w:rFonts w:eastAsia="Times New Roman"/>
                <w:b/>
                <w:bCs/>
              </w:rPr>
              <w:t>Power (95% CI)</w:t>
            </w:r>
          </w:p>
        </w:tc>
      </w:tr>
      <w:tr w:rsidR="00146F02" w:rsidRPr="00146F02" w:rsidTr="00146F02">
        <w:trPr>
          <w:trHeight w:val="285"/>
        </w:trPr>
        <w:tc>
          <w:tcPr>
            <w:tcW w:w="3600"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(Intercept)</w:t>
            </w:r>
          </w:p>
        </w:tc>
        <w:tc>
          <w:tcPr>
            <w:tcW w:w="1134"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0.615</w:t>
            </w:r>
          </w:p>
        </w:tc>
        <w:tc>
          <w:tcPr>
            <w:tcW w:w="7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0.015</w:t>
            </w:r>
          </w:p>
        </w:tc>
        <w:tc>
          <w:tcPr>
            <w:tcW w:w="799"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40.0</w:t>
            </w:r>
          </w:p>
        </w:tc>
        <w:tc>
          <w:tcPr>
            <w:tcW w:w="990"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&lt; 0.001</w:t>
            </w:r>
          </w:p>
        </w:tc>
        <w:tc>
          <w:tcPr>
            <w:tcW w:w="473"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w:t>
            </w:r>
          </w:p>
        </w:tc>
        <w:tc>
          <w:tcPr>
            <w:tcW w:w="1867"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1.00 (0.99, 1.00)</w:t>
            </w:r>
          </w:p>
        </w:tc>
      </w:tr>
      <w:tr w:rsidR="00146F02" w:rsidRPr="00146F02" w:rsidTr="00146F02">
        <w:trPr>
          <w:trHeight w:val="285"/>
        </w:trPr>
        <w:tc>
          <w:tcPr>
            <w:tcW w:w="3600"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right ear</w:t>
            </w:r>
          </w:p>
        </w:tc>
        <w:tc>
          <w:tcPr>
            <w:tcW w:w="1134"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0.013</w:t>
            </w:r>
          </w:p>
        </w:tc>
        <w:tc>
          <w:tcPr>
            <w:tcW w:w="7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0.012</w:t>
            </w:r>
          </w:p>
        </w:tc>
        <w:tc>
          <w:tcPr>
            <w:tcW w:w="799"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1.1</w:t>
            </w:r>
          </w:p>
        </w:tc>
        <w:tc>
          <w:tcPr>
            <w:tcW w:w="990"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0.284</w:t>
            </w:r>
          </w:p>
        </w:tc>
        <w:tc>
          <w:tcPr>
            <w:tcW w:w="473"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p>
        </w:tc>
        <w:tc>
          <w:tcPr>
            <w:tcW w:w="1867"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0.21 (0.18, 0.23)</w:t>
            </w:r>
          </w:p>
        </w:tc>
      </w:tr>
      <w:tr w:rsidR="00146F02" w:rsidRPr="00146F02" w:rsidTr="00146F02">
        <w:trPr>
          <w:trHeight w:val="285"/>
        </w:trPr>
        <w:tc>
          <w:tcPr>
            <w:tcW w:w="3600"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female narrator</w:t>
            </w:r>
          </w:p>
        </w:tc>
        <w:tc>
          <w:tcPr>
            <w:tcW w:w="1134"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-0.041</w:t>
            </w:r>
          </w:p>
        </w:tc>
        <w:tc>
          <w:tcPr>
            <w:tcW w:w="7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0.014</w:t>
            </w:r>
          </w:p>
        </w:tc>
        <w:tc>
          <w:tcPr>
            <w:tcW w:w="799"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-2.9</w:t>
            </w:r>
          </w:p>
        </w:tc>
        <w:tc>
          <w:tcPr>
            <w:tcW w:w="990"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0.004</w:t>
            </w:r>
          </w:p>
        </w:tc>
        <w:tc>
          <w:tcPr>
            <w:tcW w:w="473"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w:t>
            </w:r>
          </w:p>
        </w:tc>
        <w:tc>
          <w:tcPr>
            <w:tcW w:w="1867"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0.83 (0.80, 0.85)</w:t>
            </w:r>
          </w:p>
        </w:tc>
      </w:tr>
      <w:tr w:rsidR="00146F02" w:rsidRPr="00146F02" w:rsidTr="00146F02">
        <w:trPr>
          <w:trHeight w:val="285"/>
        </w:trPr>
        <w:tc>
          <w:tcPr>
            <w:tcW w:w="3600"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log10(frequency)</w:t>
            </w:r>
          </w:p>
        </w:tc>
        <w:tc>
          <w:tcPr>
            <w:tcW w:w="1134"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-0.360</w:t>
            </w:r>
          </w:p>
        </w:tc>
        <w:tc>
          <w:tcPr>
            <w:tcW w:w="767"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0.020</w:t>
            </w:r>
          </w:p>
        </w:tc>
        <w:tc>
          <w:tcPr>
            <w:tcW w:w="799"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-18.4</w:t>
            </w:r>
          </w:p>
        </w:tc>
        <w:tc>
          <w:tcPr>
            <w:tcW w:w="990" w:type="dxa"/>
            <w:tcBorders>
              <w:top w:val="nil"/>
              <w:left w:val="nil"/>
              <w:bottom w:val="nil"/>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&lt; 0.001</w:t>
            </w:r>
          </w:p>
        </w:tc>
        <w:tc>
          <w:tcPr>
            <w:tcW w:w="473"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w:t>
            </w:r>
          </w:p>
        </w:tc>
        <w:tc>
          <w:tcPr>
            <w:tcW w:w="1867" w:type="dxa"/>
            <w:tcBorders>
              <w:top w:val="nil"/>
              <w:left w:val="nil"/>
              <w:bottom w:val="nil"/>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1.00 (0.99, 1.00)</w:t>
            </w:r>
          </w:p>
        </w:tc>
      </w:tr>
      <w:tr w:rsidR="00146F02" w:rsidRPr="00146F02" w:rsidTr="00146F02">
        <w:trPr>
          <w:trHeight w:val="285"/>
        </w:trPr>
        <w:tc>
          <w:tcPr>
            <w:tcW w:w="3600"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female narrator:log10(frequency)</w:t>
            </w:r>
          </w:p>
        </w:tc>
        <w:tc>
          <w:tcPr>
            <w:tcW w:w="1134"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-0.047</w:t>
            </w:r>
          </w:p>
        </w:tc>
        <w:tc>
          <w:tcPr>
            <w:tcW w:w="767"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0.027</w:t>
            </w:r>
          </w:p>
        </w:tc>
        <w:tc>
          <w:tcPr>
            <w:tcW w:w="799"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-1.7</w:t>
            </w:r>
          </w:p>
        </w:tc>
        <w:tc>
          <w:tcPr>
            <w:tcW w:w="990"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jc w:val="right"/>
              <w:rPr>
                <w:rFonts w:eastAsia="Times New Roman"/>
              </w:rPr>
            </w:pPr>
            <w:r w:rsidRPr="00146F02">
              <w:rPr>
                <w:rFonts w:eastAsia="Times New Roman"/>
              </w:rPr>
              <w:t>0.085</w:t>
            </w:r>
          </w:p>
        </w:tc>
        <w:tc>
          <w:tcPr>
            <w:tcW w:w="473"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 </w:t>
            </w:r>
          </w:p>
        </w:tc>
        <w:tc>
          <w:tcPr>
            <w:tcW w:w="1867" w:type="dxa"/>
            <w:tcBorders>
              <w:top w:val="nil"/>
              <w:left w:val="nil"/>
              <w:bottom w:val="single" w:sz="4" w:space="0" w:color="auto"/>
              <w:right w:val="nil"/>
            </w:tcBorders>
            <w:shd w:val="clear" w:color="auto" w:fill="auto"/>
            <w:noWrap/>
            <w:vAlign w:val="bottom"/>
            <w:hideMark/>
          </w:tcPr>
          <w:p w:rsidR="00146F02" w:rsidRPr="00146F02" w:rsidRDefault="00146F02" w:rsidP="00146F02">
            <w:pPr>
              <w:spacing w:after="0"/>
              <w:rPr>
                <w:rFonts w:eastAsia="Times New Roman"/>
              </w:rPr>
            </w:pPr>
            <w:r w:rsidRPr="00146F02">
              <w:rPr>
                <w:rFonts w:eastAsia="Times New Roman"/>
              </w:rPr>
              <w:t>0.40 (0.37, 0.43)</w:t>
            </w:r>
          </w:p>
        </w:tc>
      </w:tr>
      <w:tr w:rsidR="00146F02" w:rsidRPr="00146F02" w:rsidTr="00146F02">
        <w:trPr>
          <w:trHeight w:val="255"/>
        </w:trPr>
        <w:tc>
          <w:tcPr>
            <w:tcW w:w="9630" w:type="dxa"/>
            <w:gridSpan w:val="7"/>
            <w:tcBorders>
              <w:top w:val="nil"/>
              <w:left w:val="nil"/>
              <w:bottom w:val="nil"/>
              <w:right w:val="nil"/>
            </w:tcBorders>
            <w:shd w:val="clear" w:color="auto" w:fill="auto"/>
            <w:vAlign w:val="center"/>
            <w:hideMark/>
          </w:tcPr>
          <w:p w:rsidR="00146F02" w:rsidRPr="00146F02" w:rsidRDefault="00146F02" w:rsidP="00146F02">
            <w:pPr>
              <w:spacing w:after="0"/>
              <w:rPr>
                <w:rFonts w:eastAsia="Times New Roman"/>
              </w:rPr>
            </w:pPr>
            <w:r w:rsidRPr="00146F02">
              <w:rPr>
                <w:rFonts w:eastAsia="Times New Roman"/>
              </w:rPr>
              <w:t>*p &lt; 0.05, **p &lt; 0.01, ***p &lt; 0.001, CI = confidence interval</w:t>
            </w:r>
          </w:p>
        </w:tc>
      </w:tr>
      <w:tr w:rsidR="00146F02" w:rsidRPr="00146F02" w:rsidTr="00146F02">
        <w:trPr>
          <w:trHeight w:val="1290"/>
        </w:trPr>
        <w:tc>
          <w:tcPr>
            <w:tcW w:w="9630" w:type="dxa"/>
            <w:gridSpan w:val="7"/>
            <w:tcBorders>
              <w:top w:val="nil"/>
              <w:left w:val="nil"/>
              <w:bottom w:val="nil"/>
              <w:right w:val="nil"/>
            </w:tcBorders>
            <w:shd w:val="clear" w:color="auto" w:fill="auto"/>
            <w:vAlign w:val="center"/>
            <w:hideMark/>
          </w:tcPr>
          <w:p w:rsidR="00146F02" w:rsidRPr="00146F02" w:rsidRDefault="00146F02" w:rsidP="00146F02">
            <w:pPr>
              <w:spacing w:after="0"/>
              <w:rPr>
                <w:rFonts w:eastAsia="Times New Roman"/>
              </w:rPr>
            </w:pPr>
            <w:r w:rsidRPr="00146F02">
              <w:rPr>
                <w:rFonts w:eastAsia="Times New Roman"/>
              </w:rPr>
              <w:t>Note 1: (Intercept) and log10(frequency) are terms that refer to the default condition, which is wave V for the male narrator and left ear. Estimates of interactions of these terms reflect the change compared to the default. Frequency was the center frequency of the band normalized to 1 kHz (i.e., center frequency / 1000)</w:t>
            </w:r>
          </w:p>
        </w:tc>
      </w:tr>
      <w:tr w:rsidR="00146F02" w:rsidRPr="00146F02" w:rsidTr="00146F02">
        <w:trPr>
          <w:trHeight w:val="675"/>
        </w:trPr>
        <w:tc>
          <w:tcPr>
            <w:tcW w:w="9630" w:type="dxa"/>
            <w:gridSpan w:val="7"/>
            <w:tcBorders>
              <w:top w:val="nil"/>
              <w:left w:val="nil"/>
              <w:bottom w:val="nil"/>
              <w:right w:val="nil"/>
            </w:tcBorders>
            <w:shd w:val="clear" w:color="auto" w:fill="auto"/>
            <w:vAlign w:val="center"/>
            <w:hideMark/>
          </w:tcPr>
          <w:p w:rsidR="00146F02" w:rsidRPr="00146F02" w:rsidRDefault="00146F02" w:rsidP="00146F02">
            <w:pPr>
              <w:spacing w:after="0"/>
              <w:rPr>
                <w:rFonts w:eastAsia="Times New Roman"/>
              </w:rPr>
            </w:pPr>
            <w:r w:rsidRPr="00146F02">
              <w:rPr>
                <w:rFonts w:eastAsia="Times New Roman"/>
              </w:rPr>
              <w:t xml:space="preserve">Note 2: a = </w:t>
            </w:r>
            <w:proofErr w:type="spellStart"/>
            <w:r w:rsidRPr="00146F02">
              <w:rPr>
                <w:rFonts w:eastAsia="Times New Roman"/>
              </w:rPr>
              <w:t>τ</w:t>
            </w:r>
            <w:r w:rsidRPr="00F64E8B">
              <w:rPr>
                <w:rFonts w:eastAsia="Times New Roman"/>
                <w:vertAlign w:val="subscript"/>
              </w:rPr>
              <w:t>synaptic</w:t>
            </w:r>
            <w:proofErr w:type="spellEnd"/>
            <w:r w:rsidRPr="00146F02">
              <w:rPr>
                <w:rFonts w:eastAsia="Times New Roman"/>
              </w:rPr>
              <w:t xml:space="preserve"> + </w:t>
            </w:r>
            <w:proofErr w:type="spellStart"/>
            <w:r w:rsidRPr="00146F02">
              <w:rPr>
                <w:rFonts w:eastAsia="Times New Roman"/>
              </w:rPr>
              <w:t>τ</w:t>
            </w:r>
            <w:r w:rsidRPr="00F64E8B">
              <w:rPr>
                <w:rFonts w:eastAsia="Times New Roman"/>
                <w:vertAlign w:val="subscript"/>
              </w:rPr>
              <w:t>I</w:t>
            </w:r>
            <w:proofErr w:type="spellEnd"/>
            <w:r w:rsidRPr="00F64E8B">
              <w:rPr>
                <w:rFonts w:eastAsia="Times New Roman"/>
                <w:vertAlign w:val="subscript"/>
              </w:rPr>
              <w:t>-V</w:t>
            </w:r>
            <w:r w:rsidR="00F64E8B">
              <w:rPr>
                <w:rFonts w:eastAsia="Times New Roman"/>
              </w:rPr>
              <w:t xml:space="preserve">. </w:t>
            </w:r>
            <w:proofErr w:type="spellStart"/>
            <w:r w:rsidR="00F64E8B" w:rsidRPr="00146F02">
              <w:rPr>
                <w:rFonts w:eastAsia="Times New Roman"/>
              </w:rPr>
              <w:t>τ</w:t>
            </w:r>
            <w:r w:rsidRPr="00F64E8B">
              <w:rPr>
                <w:rFonts w:eastAsia="Times New Roman"/>
                <w:vertAlign w:val="subscript"/>
              </w:rPr>
              <w:t>synaptic</w:t>
            </w:r>
            <w:proofErr w:type="spellEnd"/>
            <w:r w:rsidRPr="00146F02">
              <w:rPr>
                <w:rFonts w:eastAsia="Times New Roman"/>
              </w:rPr>
              <w:t xml:space="preserve"> = 0.8 and </w:t>
            </w:r>
            <w:proofErr w:type="spellStart"/>
            <w:r w:rsidRPr="00146F02">
              <w:rPr>
                <w:rFonts w:eastAsia="Times New Roman"/>
              </w:rPr>
              <w:t>τ</w:t>
            </w:r>
            <w:r w:rsidRPr="00F64E8B">
              <w:rPr>
                <w:rFonts w:eastAsia="Times New Roman"/>
                <w:vertAlign w:val="subscript"/>
              </w:rPr>
              <w:t>I</w:t>
            </w:r>
            <w:proofErr w:type="spellEnd"/>
            <w:r w:rsidRPr="00F64E8B">
              <w:rPr>
                <w:rFonts w:eastAsia="Times New Roman"/>
                <w:vertAlign w:val="subscript"/>
              </w:rPr>
              <w:t>-V</w:t>
            </w:r>
            <w:r w:rsidRPr="00146F02">
              <w:rPr>
                <w:rFonts w:eastAsia="Times New Roman"/>
              </w:rPr>
              <w:t xml:space="preserve"> was the mean I-V interval from the response to peaky broadband speech in experiment 2.</w:t>
            </w:r>
          </w:p>
        </w:tc>
      </w:tr>
    </w:tbl>
    <w:p w:rsidR="00146F02" w:rsidRDefault="00146F02">
      <w:bookmarkStart w:id="0" w:name="_GoBack"/>
      <w:bookmarkEnd w:id="0"/>
    </w:p>
    <w:sectPr w:rsidR="00146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49"/>
    <w:rsid w:val="00006F77"/>
    <w:rsid w:val="000904E1"/>
    <w:rsid w:val="000A59E4"/>
    <w:rsid w:val="000D2A9D"/>
    <w:rsid w:val="000F443F"/>
    <w:rsid w:val="001410DE"/>
    <w:rsid w:val="00144291"/>
    <w:rsid w:val="00146F02"/>
    <w:rsid w:val="001A7D87"/>
    <w:rsid w:val="001D5352"/>
    <w:rsid w:val="001E5B67"/>
    <w:rsid w:val="002323CB"/>
    <w:rsid w:val="003A242C"/>
    <w:rsid w:val="003B7D13"/>
    <w:rsid w:val="0043131C"/>
    <w:rsid w:val="004733B1"/>
    <w:rsid w:val="005921F6"/>
    <w:rsid w:val="005F2E06"/>
    <w:rsid w:val="008031FE"/>
    <w:rsid w:val="008B5212"/>
    <w:rsid w:val="009A53A5"/>
    <w:rsid w:val="009C2E15"/>
    <w:rsid w:val="00A16BCE"/>
    <w:rsid w:val="00A663BA"/>
    <w:rsid w:val="00A77BEA"/>
    <w:rsid w:val="00BC4C64"/>
    <w:rsid w:val="00C54E2A"/>
    <w:rsid w:val="00C74B15"/>
    <w:rsid w:val="00D91FEC"/>
    <w:rsid w:val="00DE256D"/>
    <w:rsid w:val="00F17956"/>
    <w:rsid w:val="00F33A80"/>
    <w:rsid w:val="00F64E8B"/>
    <w:rsid w:val="00F81849"/>
    <w:rsid w:val="00FC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FDEB"/>
  <w15:chartTrackingRefBased/>
  <w15:docId w15:val="{ABB4F182-4E30-4EBD-9894-A1456BF3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49"/>
    <w:pPr>
      <w:spacing w:after="120" w:line="240" w:lineRule="auto"/>
    </w:pPr>
    <w:rPr>
      <w:rFonts w:ascii="Arial" w:hAnsi="Arial" w:cs="Arial"/>
    </w:rPr>
  </w:style>
  <w:style w:type="paragraph" w:styleId="Heading2">
    <w:name w:val="heading 2"/>
    <w:basedOn w:val="Normal"/>
    <w:next w:val="Normal"/>
    <w:link w:val="Heading2Char"/>
    <w:uiPriority w:val="9"/>
    <w:unhideWhenUsed/>
    <w:qFormat/>
    <w:rsid w:val="00F81849"/>
    <w:pPr>
      <w:outlineLvl w:val="1"/>
    </w:pPr>
    <w:rPr>
      <w:u w:val="single"/>
    </w:rPr>
  </w:style>
  <w:style w:type="paragraph" w:styleId="Heading3">
    <w:name w:val="heading 3"/>
    <w:basedOn w:val="Normal"/>
    <w:next w:val="Normal"/>
    <w:link w:val="Heading3Char"/>
    <w:uiPriority w:val="9"/>
    <w:semiHidden/>
    <w:unhideWhenUsed/>
    <w:qFormat/>
    <w:rsid w:val="00A77BEA"/>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
    <w:name w:val="FigureTitle"/>
    <w:basedOn w:val="Heading3"/>
    <w:link w:val="FigureTitleChar"/>
    <w:qFormat/>
    <w:rsid w:val="00A77BEA"/>
    <w:pPr>
      <w:keepNext w:val="0"/>
      <w:keepLines w:val="0"/>
      <w:spacing w:before="0" w:after="120" w:line="240" w:lineRule="auto"/>
    </w:pPr>
    <w:rPr>
      <w:rFonts w:asciiTheme="minorHAnsi" w:eastAsiaTheme="minorHAnsi" w:hAnsiTheme="minorHAnsi" w:cstheme="minorBidi"/>
      <w:b/>
      <w:i/>
      <w:color w:val="auto"/>
      <w:sz w:val="22"/>
      <w:szCs w:val="22"/>
    </w:rPr>
  </w:style>
  <w:style w:type="character" w:customStyle="1" w:styleId="FigureTitleChar">
    <w:name w:val="FigureTitle Char"/>
    <w:basedOn w:val="Heading3Char"/>
    <w:link w:val="FigureTitle"/>
    <w:rsid w:val="00A77BEA"/>
    <w:rPr>
      <w:rFonts w:asciiTheme="majorHAnsi" w:eastAsiaTheme="majorEastAsia" w:hAnsiTheme="majorHAnsi" w:cstheme="majorBidi"/>
      <w:b/>
      <w:i/>
      <w:color w:val="1F4D78" w:themeColor="accent1" w:themeShade="7F"/>
      <w:sz w:val="24"/>
      <w:szCs w:val="24"/>
    </w:rPr>
  </w:style>
  <w:style w:type="character" w:customStyle="1" w:styleId="Heading3Char">
    <w:name w:val="Heading 3 Char"/>
    <w:basedOn w:val="DefaultParagraphFont"/>
    <w:link w:val="Heading3"/>
    <w:uiPriority w:val="9"/>
    <w:semiHidden/>
    <w:rsid w:val="00A77BEA"/>
    <w:rPr>
      <w:rFonts w:asciiTheme="majorHAnsi" w:eastAsiaTheme="majorEastAsia" w:hAnsiTheme="majorHAnsi" w:cstheme="majorBidi"/>
      <w:color w:val="1F4D78" w:themeColor="accent1" w:themeShade="7F"/>
      <w:sz w:val="24"/>
      <w:szCs w:val="24"/>
    </w:rPr>
  </w:style>
  <w:style w:type="paragraph" w:customStyle="1" w:styleId="FigureCaption">
    <w:name w:val="FigureCaption"/>
    <w:basedOn w:val="FigureTitle"/>
    <w:link w:val="FigureCaptionChar"/>
    <w:qFormat/>
    <w:rsid w:val="00A77BEA"/>
    <w:rPr>
      <w:b w:val="0"/>
      <w:sz w:val="18"/>
    </w:rPr>
  </w:style>
  <w:style w:type="character" w:customStyle="1" w:styleId="FigureCaptionChar">
    <w:name w:val="FigureCaption Char"/>
    <w:basedOn w:val="FigureTitleChar"/>
    <w:link w:val="FigureCaption"/>
    <w:rsid w:val="00A77BEA"/>
    <w:rPr>
      <w:rFonts w:asciiTheme="majorHAnsi" w:eastAsiaTheme="majorEastAsia" w:hAnsiTheme="majorHAnsi" w:cstheme="majorBidi"/>
      <w:b w:val="0"/>
      <w:i/>
      <w:color w:val="1F4D78" w:themeColor="accent1" w:themeShade="7F"/>
      <w:sz w:val="18"/>
      <w:szCs w:val="24"/>
    </w:rPr>
  </w:style>
  <w:style w:type="character" w:customStyle="1" w:styleId="Heading2Char">
    <w:name w:val="Heading 2 Char"/>
    <w:basedOn w:val="DefaultParagraphFont"/>
    <w:link w:val="Heading2"/>
    <w:uiPriority w:val="9"/>
    <w:qFormat/>
    <w:rsid w:val="00F81849"/>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987">
      <w:bodyDiv w:val="1"/>
      <w:marLeft w:val="0"/>
      <w:marRight w:val="0"/>
      <w:marTop w:val="0"/>
      <w:marBottom w:val="0"/>
      <w:divBdr>
        <w:top w:val="none" w:sz="0" w:space="0" w:color="auto"/>
        <w:left w:val="none" w:sz="0" w:space="0" w:color="auto"/>
        <w:bottom w:val="none" w:sz="0" w:space="0" w:color="auto"/>
        <w:right w:val="none" w:sz="0" w:space="0" w:color="auto"/>
      </w:divBdr>
    </w:div>
    <w:div w:id="106195972">
      <w:bodyDiv w:val="1"/>
      <w:marLeft w:val="0"/>
      <w:marRight w:val="0"/>
      <w:marTop w:val="0"/>
      <w:marBottom w:val="0"/>
      <w:divBdr>
        <w:top w:val="none" w:sz="0" w:space="0" w:color="auto"/>
        <w:left w:val="none" w:sz="0" w:space="0" w:color="auto"/>
        <w:bottom w:val="none" w:sz="0" w:space="0" w:color="auto"/>
        <w:right w:val="none" w:sz="0" w:space="0" w:color="auto"/>
      </w:divBdr>
    </w:div>
    <w:div w:id="106658445">
      <w:bodyDiv w:val="1"/>
      <w:marLeft w:val="0"/>
      <w:marRight w:val="0"/>
      <w:marTop w:val="0"/>
      <w:marBottom w:val="0"/>
      <w:divBdr>
        <w:top w:val="none" w:sz="0" w:space="0" w:color="auto"/>
        <w:left w:val="none" w:sz="0" w:space="0" w:color="auto"/>
        <w:bottom w:val="none" w:sz="0" w:space="0" w:color="auto"/>
        <w:right w:val="none" w:sz="0" w:space="0" w:color="auto"/>
      </w:divBdr>
    </w:div>
    <w:div w:id="208693191">
      <w:bodyDiv w:val="1"/>
      <w:marLeft w:val="0"/>
      <w:marRight w:val="0"/>
      <w:marTop w:val="0"/>
      <w:marBottom w:val="0"/>
      <w:divBdr>
        <w:top w:val="none" w:sz="0" w:space="0" w:color="auto"/>
        <w:left w:val="none" w:sz="0" w:space="0" w:color="auto"/>
        <w:bottom w:val="none" w:sz="0" w:space="0" w:color="auto"/>
        <w:right w:val="none" w:sz="0" w:space="0" w:color="auto"/>
      </w:divBdr>
    </w:div>
    <w:div w:id="416367803">
      <w:bodyDiv w:val="1"/>
      <w:marLeft w:val="0"/>
      <w:marRight w:val="0"/>
      <w:marTop w:val="0"/>
      <w:marBottom w:val="0"/>
      <w:divBdr>
        <w:top w:val="none" w:sz="0" w:space="0" w:color="auto"/>
        <w:left w:val="none" w:sz="0" w:space="0" w:color="auto"/>
        <w:bottom w:val="none" w:sz="0" w:space="0" w:color="auto"/>
        <w:right w:val="none" w:sz="0" w:space="0" w:color="auto"/>
      </w:divBdr>
    </w:div>
    <w:div w:id="623846666">
      <w:bodyDiv w:val="1"/>
      <w:marLeft w:val="0"/>
      <w:marRight w:val="0"/>
      <w:marTop w:val="0"/>
      <w:marBottom w:val="0"/>
      <w:divBdr>
        <w:top w:val="none" w:sz="0" w:space="0" w:color="auto"/>
        <w:left w:val="none" w:sz="0" w:space="0" w:color="auto"/>
        <w:bottom w:val="none" w:sz="0" w:space="0" w:color="auto"/>
        <w:right w:val="none" w:sz="0" w:space="0" w:color="auto"/>
      </w:divBdr>
    </w:div>
    <w:div w:id="720447651">
      <w:bodyDiv w:val="1"/>
      <w:marLeft w:val="0"/>
      <w:marRight w:val="0"/>
      <w:marTop w:val="0"/>
      <w:marBottom w:val="0"/>
      <w:divBdr>
        <w:top w:val="none" w:sz="0" w:space="0" w:color="auto"/>
        <w:left w:val="none" w:sz="0" w:space="0" w:color="auto"/>
        <w:bottom w:val="none" w:sz="0" w:space="0" w:color="auto"/>
        <w:right w:val="none" w:sz="0" w:space="0" w:color="auto"/>
      </w:divBdr>
    </w:div>
    <w:div w:id="1040012184">
      <w:bodyDiv w:val="1"/>
      <w:marLeft w:val="0"/>
      <w:marRight w:val="0"/>
      <w:marTop w:val="0"/>
      <w:marBottom w:val="0"/>
      <w:divBdr>
        <w:top w:val="none" w:sz="0" w:space="0" w:color="auto"/>
        <w:left w:val="none" w:sz="0" w:space="0" w:color="auto"/>
        <w:bottom w:val="none" w:sz="0" w:space="0" w:color="auto"/>
        <w:right w:val="none" w:sz="0" w:space="0" w:color="auto"/>
      </w:divBdr>
    </w:div>
    <w:div w:id="1250970499">
      <w:bodyDiv w:val="1"/>
      <w:marLeft w:val="0"/>
      <w:marRight w:val="0"/>
      <w:marTop w:val="0"/>
      <w:marBottom w:val="0"/>
      <w:divBdr>
        <w:top w:val="none" w:sz="0" w:space="0" w:color="auto"/>
        <w:left w:val="none" w:sz="0" w:space="0" w:color="auto"/>
        <w:bottom w:val="none" w:sz="0" w:space="0" w:color="auto"/>
        <w:right w:val="none" w:sz="0" w:space="0" w:color="auto"/>
      </w:divBdr>
    </w:div>
    <w:div w:id="1323849606">
      <w:bodyDiv w:val="1"/>
      <w:marLeft w:val="0"/>
      <w:marRight w:val="0"/>
      <w:marTop w:val="0"/>
      <w:marBottom w:val="0"/>
      <w:divBdr>
        <w:top w:val="none" w:sz="0" w:space="0" w:color="auto"/>
        <w:left w:val="none" w:sz="0" w:space="0" w:color="auto"/>
        <w:bottom w:val="none" w:sz="0" w:space="0" w:color="auto"/>
        <w:right w:val="none" w:sz="0" w:space="0" w:color="auto"/>
      </w:divBdr>
    </w:div>
    <w:div w:id="1503158700">
      <w:bodyDiv w:val="1"/>
      <w:marLeft w:val="0"/>
      <w:marRight w:val="0"/>
      <w:marTop w:val="0"/>
      <w:marBottom w:val="0"/>
      <w:divBdr>
        <w:top w:val="none" w:sz="0" w:space="0" w:color="auto"/>
        <w:left w:val="none" w:sz="0" w:space="0" w:color="auto"/>
        <w:bottom w:val="none" w:sz="0" w:space="0" w:color="auto"/>
        <w:right w:val="none" w:sz="0" w:space="0" w:color="auto"/>
      </w:divBdr>
    </w:div>
    <w:div w:id="1508713322">
      <w:bodyDiv w:val="1"/>
      <w:marLeft w:val="0"/>
      <w:marRight w:val="0"/>
      <w:marTop w:val="0"/>
      <w:marBottom w:val="0"/>
      <w:divBdr>
        <w:top w:val="none" w:sz="0" w:space="0" w:color="auto"/>
        <w:left w:val="none" w:sz="0" w:space="0" w:color="auto"/>
        <w:bottom w:val="none" w:sz="0" w:space="0" w:color="auto"/>
        <w:right w:val="none" w:sz="0" w:space="0" w:color="auto"/>
      </w:divBdr>
    </w:div>
    <w:div w:id="1569656020">
      <w:bodyDiv w:val="1"/>
      <w:marLeft w:val="0"/>
      <w:marRight w:val="0"/>
      <w:marTop w:val="0"/>
      <w:marBottom w:val="0"/>
      <w:divBdr>
        <w:top w:val="none" w:sz="0" w:space="0" w:color="auto"/>
        <w:left w:val="none" w:sz="0" w:space="0" w:color="auto"/>
        <w:bottom w:val="none" w:sz="0" w:space="0" w:color="auto"/>
        <w:right w:val="none" w:sz="0" w:space="0" w:color="auto"/>
      </w:divBdr>
    </w:div>
    <w:div w:id="1660185997">
      <w:bodyDiv w:val="1"/>
      <w:marLeft w:val="0"/>
      <w:marRight w:val="0"/>
      <w:marTop w:val="0"/>
      <w:marBottom w:val="0"/>
      <w:divBdr>
        <w:top w:val="none" w:sz="0" w:space="0" w:color="auto"/>
        <w:left w:val="none" w:sz="0" w:space="0" w:color="auto"/>
        <w:bottom w:val="none" w:sz="0" w:space="0" w:color="auto"/>
        <w:right w:val="none" w:sz="0" w:space="0" w:color="auto"/>
      </w:divBdr>
    </w:div>
    <w:div w:id="1663582368">
      <w:bodyDiv w:val="1"/>
      <w:marLeft w:val="0"/>
      <w:marRight w:val="0"/>
      <w:marTop w:val="0"/>
      <w:marBottom w:val="0"/>
      <w:divBdr>
        <w:top w:val="none" w:sz="0" w:space="0" w:color="auto"/>
        <w:left w:val="none" w:sz="0" w:space="0" w:color="auto"/>
        <w:bottom w:val="none" w:sz="0" w:space="0" w:color="auto"/>
        <w:right w:val="none" w:sz="0" w:space="0" w:color="auto"/>
      </w:divBdr>
    </w:div>
    <w:div w:id="1666399162">
      <w:bodyDiv w:val="1"/>
      <w:marLeft w:val="0"/>
      <w:marRight w:val="0"/>
      <w:marTop w:val="0"/>
      <w:marBottom w:val="0"/>
      <w:divBdr>
        <w:top w:val="none" w:sz="0" w:space="0" w:color="auto"/>
        <w:left w:val="none" w:sz="0" w:space="0" w:color="auto"/>
        <w:bottom w:val="none" w:sz="0" w:space="0" w:color="auto"/>
        <w:right w:val="none" w:sz="0" w:space="0" w:color="auto"/>
      </w:divBdr>
    </w:div>
    <w:div w:id="1745105517">
      <w:bodyDiv w:val="1"/>
      <w:marLeft w:val="0"/>
      <w:marRight w:val="0"/>
      <w:marTop w:val="0"/>
      <w:marBottom w:val="0"/>
      <w:divBdr>
        <w:top w:val="none" w:sz="0" w:space="0" w:color="auto"/>
        <w:left w:val="none" w:sz="0" w:space="0" w:color="auto"/>
        <w:bottom w:val="none" w:sz="0" w:space="0" w:color="auto"/>
        <w:right w:val="none" w:sz="0" w:space="0" w:color="auto"/>
      </w:divBdr>
    </w:div>
    <w:div w:id="1855722689">
      <w:bodyDiv w:val="1"/>
      <w:marLeft w:val="0"/>
      <w:marRight w:val="0"/>
      <w:marTop w:val="0"/>
      <w:marBottom w:val="0"/>
      <w:divBdr>
        <w:top w:val="none" w:sz="0" w:space="0" w:color="auto"/>
        <w:left w:val="none" w:sz="0" w:space="0" w:color="auto"/>
        <w:bottom w:val="none" w:sz="0" w:space="0" w:color="auto"/>
        <w:right w:val="none" w:sz="0" w:space="0" w:color="auto"/>
      </w:divBdr>
    </w:div>
    <w:div w:id="1874150591">
      <w:bodyDiv w:val="1"/>
      <w:marLeft w:val="0"/>
      <w:marRight w:val="0"/>
      <w:marTop w:val="0"/>
      <w:marBottom w:val="0"/>
      <w:divBdr>
        <w:top w:val="none" w:sz="0" w:space="0" w:color="auto"/>
        <w:left w:val="none" w:sz="0" w:space="0" w:color="auto"/>
        <w:bottom w:val="none" w:sz="0" w:space="0" w:color="auto"/>
        <w:right w:val="none" w:sz="0" w:space="0" w:color="auto"/>
      </w:divBdr>
    </w:div>
    <w:div w:id="21224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2</cp:revision>
  <dcterms:created xsi:type="dcterms:W3CDTF">2021-01-28T01:47:00Z</dcterms:created>
  <dcterms:modified xsi:type="dcterms:W3CDTF">2021-01-28T01:47:00Z</dcterms:modified>
</cp:coreProperties>
</file>