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0D97" w14:textId="78369810" w:rsidR="00174C15" w:rsidRDefault="00174C15" w:rsidP="00174C15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174C15">
        <w:rPr>
          <w:rFonts w:ascii="Times New Roman" w:hAnsi="Times New Roman" w:cs="Times New Roman"/>
          <w:sz w:val="32"/>
          <w:szCs w:val="32"/>
        </w:rPr>
        <w:t xml:space="preserve">Primers used in Kennard and Theriot - </w:t>
      </w:r>
      <w:r w:rsidRPr="00174C15">
        <w:rPr>
          <w:rFonts w:ascii="Times New Roman" w:hAnsi="Times New Roman" w:cs="Times New Roman"/>
          <w:sz w:val="32"/>
          <w:szCs w:val="32"/>
        </w:rPr>
        <w:t>Osmolarity-independent electrical cues guide rapid response to injury in zebrafish epidermis</w:t>
      </w:r>
    </w:p>
    <w:p w14:paraId="61748549" w14:textId="51BA1C6A" w:rsidR="00174C15" w:rsidRDefault="00174C15" w:rsidP="00174C15"/>
    <w:p w14:paraId="6BE0FB14" w14:textId="3D56AB96" w:rsidR="00174C15" w:rsidRDefault="00174C15" w:rsidP="00174C15">
      <w:r>
        <w:t>Note that hyphens have been added for readability but are not part of the sequence.</w:t>
      </w:r>
    </w:p>
    <w:p w14:paraId="41017534" w14:textId="77777777" w:rsidR="00F62C10" w:rsidRDefault="00F62C10" w:rsidP="00174C15"/>
    <w:p w14:paraId="098E8C29" w14:textId="3A11791F" w:rsidR="00174C15" w:rsidRPr="00174C15" w:rsidRDefault="00174C15" w:rsidP="00174C15">
      <w:r>
        <w:t xml:space="preserve">If </w:t>
      </w:r>
      <w:r w:rsidR="00F62C10">
        <w:t>uppercase</w:t>
      </w:r>
      <w:r>
        <w:t xml:space="preserve"> and lowercase appear in the same primer, </w:t>
      </w:r>
      <w:r w:rsidR="00F62C10">
        <w:t>UPPERCASE</w:t>
      </w:r>
      <w:r>
        <w:t xml:space="preserve"> indicates the addition of non-homologous sequence, such as </w:t>
      </w:r>
      <w:proofErr w:type="spellStart"/>
      <w:r>
        <w:t>attB</w:t>
      </w:r>
      <w:proofErr w:type="spellEnd"/>
      <w:r>
        <w:t xml:space="preserve"> sites added to the primers for Gateway recombination. Lowercase indicates regions of homology with the template.</w:t>
      </w:r>
    </w:p>
    <w:p w14:paraId="0626C6AC" w14:textId="6DE341E0" w:rsidR="00EA134C" w:rsidRPr="00174C15" w:rsidRDefault="00DC26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5334"/>
        <w:gridCol w:w="3145"/>
      </w:tblGrid>
      <w:tr w:rsidR="00174C15" w:rsidRPr="00174C15" w14:paraId="50823896" w14:textId="77777777" w:rsidTr="00F62C10">
        <w:tc>
          <w:tcPr>
            <w:tcW w:w="871" w:type="dxa"/>
          </w:tcPr>
          <w:p w14:paraId="2195E036" w14:textId="30EB7836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Primer ID</w:t>
            </w:r>
          </w:p>
        </w:tc>
        <w:tc>
          <w:tcPr>
            <w:tcW w:w="5334" w:type="dxa"/>
          </w:tcPr>
          <w:p w14:paraId="0DC73224" w14:textId="202E0C74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Sequence (5’ to 3’)</w:t>
            </w:r>
          </w:p>
        </w:tc>
        <w:tc>
          <w:tcPr>
            <w:tcW w:w="3145" w:type="dxa"/>
          </w:tcPr>
          <w:p w14:paraId="2DDB48BD" w14:textId="430C3841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</w:p>
        </w:tc>
      </w:tr>
      <w:tr w:rsidR="00174C15" w:rsidRPr="00174C15" w14:paraId="3E8E354D" w14:textId="77777777" w:rsidTr="00F62C10">
        <w:tc>
          <w:tcPr>
            <w:tcW w:w="871" w:type="dxa"/>
          </w:tcPr>
          <w:p w14:paraId="2EC1C459" w14:textId="546F8A94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34" w:type="dxa"/>
          </w:tcPr>
          <w:p w14:paraId="5A965110" w14:textId="4E7DC154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GGGGACAAGTTTGTACAAAAAAGCAGGCTTA</w:t>
            </w:r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GCCACC</w:t>
            </w:r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ATGGGTTCTCATCATCA</w:t>
            </w:r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145" w:type="dxa"/>
          </w:tcPr>
          <w:p w14:paraId="53B0BEA2" w14:textId="24CC4883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Forward primer used to amplify GCaMP6f-P2A-nls-dTomato from template. Underlined sequence introduces a Kozak sequence prior to the translation start site</w:t>
            </w:r>
          </w:p>
        </w:tc>
      </w:tr>
      <w:tr w:rsidR="00174C15" w:rsidRPr="00174C15" w14:paraId="37172928" w14:textId="77777777" w:rsidTr="00F62C10">
        <w:tc>
          <w:tcPr>
            <w:tcW w:w="871" w:type="dxa"/>
          </w:tcPr>
          <w:p w14:paraId="709FACC0" w14:textId="56243D3C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34" w:type="dxa"/>
          </w:tcPr>
          <w:p w14:paraId="38B34387" w14:textId="2489ECFE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GGGGACCACTTTGTACAAGAAAGCTGGGTTGCCGTCGACTTACTTGTACAGC</w:t>
            </w:r>
          </w:p>
        </w:tc>
        <w:tc>
          <w:tcPr>
            <w:tcW w:w="3145" w:type="dxa"/>
          </w:tcPr>
          <w:p w14:paraId="50325C99" w14:textId="38DCE158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Forward primer used to amplify GCaMP6f-P2A-nls-dTomato from template.</w:t>
            </w:r>
          </w:p>
        </w:tc>
      </w:tr>
      <w:tr w:rsidR="00174C15" w:rsidRPr="00174C15" w14:paraId="27627C52" w14:textId="77777777" w:rsidTr="00F62C10">
        <w:tc>
          <w:tcPr>
            <w:tcW w:w="871" w:type="dxa"/>
          </w:tcPr>
          <w:p w14:paraId="0E92B9A1" w14:textId="474E0F19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34" w:type="dxa"/>
          </w:tcPr>
          <w:p w14:paraId="2DE7FDA7" w14:textId="55F02133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GGGGACAAGTTTGTACAAAAAAGCAGGCTGGatggtgagcaagggcgaggag</w:t>
            </w:r>
            <w:proofErr w:type="spellEnd"/>
          </w:p>
        </w:tc>
        <w:tc>
          <w:tcPr>
            <w:tcW w:w="3145" w:type="dxa"/>
          </w:tcPr>
          <w:p w14:paraId="37FAB0EE" w14:textId="044E8702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Forward primer used to amplify </w:t>
            </w:r>
            <w:proofErr w:type="spellStart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mNeon</w:t>
            </w:r>
            <w:proofErr w:type="spellEnd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 green from template, beginning at the start codon. </w:t>
            </w:r>
          </w:p>
        </w:tc>
      </w:tr>
      <w:tr w:rsidR="00174C15" w:rsidRPr="00174C15" w14:paraId="11DA410C" w14:textId="77777777" w:rsidTr="00F62C10">
        <w:tc>
          <w:tcPr>
            <w:tcW w:w="871" w:type="dxa"/>
          </w:tcPr>
          <w:p w14:paraId="084811CF" w14:textId="18A605EE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34" w:type="dxa"/>
          </w:tcPr>
          <w:p w14:paraId="4FDFF8A2" w14:textId="193BC89D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GGGGACCACTTTGTACAAGAAAGCTGGGTCcttgtacagctcgtccatgc</w:t>
            </w:r>
            <w:proofErr w:type="spellEnd"/>
          </w:p>
        </w:tc>
        <w:tc>
          <w:tcPr>
            <w:tcW w:w="3145" w:type="dxa"/>
          </w:tcPr>
          <w:p w14:paraId="5E522ECC" w14:textId="539E1C96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Reverse primer used to amplify </w:t>
            </w:r>
            <w:proofErr w:type="spellStart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mNeonGreen</w:t>
            </w:r>
            <w:proofErr w:type="spellEnd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 from template, not including the stop codon. </w:t>
            </w:r>
          </w:p>
        </w:tc>
      </w:tr>
      <w:tr w:rsidR="00174C15" w:rsidRPr="00174C15" w14:paraId="35AFED38" w14:textId="77777777" w:rsidTr="00F62C10">
        <w:tc>
          <w:tcPr>
            <w:tcW w:w="871" w:type="dxa"/>
          </w:tcPr>
          <w:p w14:paraId="7CFE2347" w14:textId="343E38C1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34" w:type="dxa"/>
          </w:tcPr>
          <w:p w14:paraId="3C9C444B" w14:textId="59B6A691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GGGGACAGCTTTCTTGTACAAAGTGGTAatggtgtctaagggcgaagag</w:t>
            </w:r>
            <w:proofErr w:type="spellEnd"/>
          </w:p>
        </w:tc>
        <w:tc>
          <w:tcPr>
            <w:tcW w:w="3145" w:type="dxa"/>
          </w:tcPr>
          <w:p w14:paraId="51F4C17E" w14:textId="77CD6479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Forward primer used to amplify mRuby3 from template, beginning at the start codon</w:t>
            </w:r>
          </w:p>
        </w:tc>
      </w:tr>
      <w:tr w:rsidR="00174C15" w:rsidRPr="00174C15" w14:paraId="6DF2AC6B" w14:textId="77777777" w:rsidTr="00F62C10">
        <w:tc>
          <w:tcPr>
            <w:tcW w:w="871" w:type="dxa"/>
          </w:tcPr>
          <w:p w14:paraId="392C4D25" w14:textId="52140DEB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34" w:type="dxa"/>
          </w:tcPr>
          <w:p w14:paraId="73984913" w14:textId="763A2832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GGGGACAACTTTGTATAATAAAGTTGTttacttgtacagctcgtccatgcc</w:t>
            </w:r>
            <w:proofErr w:type="spellEnd"/>
          </w:p>
        </w:tc>
        <w:tc>
          <w:tcPr>
            <w:tcW w:w="3145" w:type="dxa"/>
          </w:tcPr>
          <w:p w14:paraId="3438466E" w14:textId="49FDB8E7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Reverse primer used to amplify mRuby3 from template, including the stop codon</w:t>
            </w:r>
          </w:p>
        </w:tc>
      </w:tr>
      <w:tr w:rsidR="00174C15" w:rsidRPr="00174C15" w14:paraId="70F3FCB7" w14:textId="77777777" w:rsidTr="00F62C10">
        <w:tc>
          <w:tcPr>
            <w:tcW w:w="871" w:type="dxa"/>
          </w:tcPr>
          <w:p w14:paraId="11CD897F" w14:textId="6666C6FC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34" w:type="dxa"/>
          </w:tcPr>
          <w:p w14:paraId="15209419" w14:textId="4F42819E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CAGGCTGGAGACGTGGAGGAGAACCCTGGACCTgacccagctttcttgtac</w:t>
            </w:r>
            <w:proofErr w:type="spellEnd"/>
          </w:p>
        </w:tc>
        <w:tc>
          <w:tcPr>
            <w:tcW w:w="3145" w:type="dxa"/>
          </w:tcPr>
          <w:p w14:paraId="1DDE3716" w14:textId="091DA6D7" w:rsidR="00174C15" w:rsidRPr="00F62C10" w:rsidRDefault="00174C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Primer used </w:t>
            </w:r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for Q5 mutagenesis to insert a </w:t>
            </w:r>
            <w:proofErr w:type="spellStart"/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>Gly</w:t>
            </w:r>
            <w:proofErr w:type="spellEnd"/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>-Ser-</w:t>
            </w:r>
            <w:proofErr w:type="spellStart"/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>Gly</w:t>
            </w:r>
            <w:proofErr w:type="spellEnd"/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 linker to the C-terminus of </w:t>
            </w:r>
            <w:proofErr w:type="spellStart"/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>mNeonGreen</w:t>
            </w:r>
            <w:proofErr w:type="spellEnd"/>
            <w:r w:rsidR="00F62C10"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62C10" w:rsidRPr="00174C15" w14:paraId="1C4F685C" w14:textId="77777777" w:rsidTr="00F62C10">
        <w:tc>
          <w:tcPr>
            <w:tcW w:w="871" w:type="dxa"/>
          </w:tcPr>
          <w:p w14:paraId="002A4F73" w14:textId="654383F3" w:rsidR="00F62C10" w:rsidRPr="00F62C10" w:rsidRDefault="00F6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34" w:type="dxa"/>
          </w:tcPr>
          <w:p w14:paraId="7236A027" w14:textId="70396D83" w:rsidR="00F62C10" w:rsidRPr="00F62C10" w:rsidRDefault="00F62C1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CTTCAGCAGGCTGAAGTTAGTAGCTCCGCTTCCcttgtacagctcgtccatg</w:t>
            </w:r>
            <w:proofErr w:type="spellEnd"/>
          </w:p>
        </w:tc>
        <w:tc>
          <w:tcPr>
            <w:tcW w:w="3145" w:type="dxa"/>
          </w:tcPr>
          <w:p w14:paraId="34AAECE9" w14:textId="5E0550D8" w:rsidR="00F62C10" w:rsidRPr="00F62C10" w:rsidRDefault="00F6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Primer used for Q5 mutagenesis to add a P2A site to the C-terminus of </w:t>
            </w:r>
            <w:proofErr w:type="spellStart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mNeonGreen</w:t>
            </w:r>
            <w:proofErr w:type="spellEnd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 (after the </w:t>
            </w:r>
            <w:proofErr w:type="spellStart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Gly</w:t>
            </w:r>
            <w:proofErr w:type="spellEnd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-Ser-</w:t>
            </w:r>
            <w:proofErr w:type="spellStart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Gly</w:t>
            </w:r>
            <w:proofErr w:type="spellEnd"/>
            <w:r w:rsidRPr="00F62C10">
              <w:rPr>
                <w:rFonts w:ascii="Times New Roman" w:hAnsi="Times New Roman" w:cs="Times New Roman"/>
                <w:sz w:val="22"/>
                <w:szCs w:val="22"/>
              </w:rPr>
              <w:t xml:space="preserve"> linker)</w:t>
            </w:r>
          </w:p>
        </w:tc>
      </w:tr>
      <w:tr w:rsidR="00F62C10" w:rsidRPr="00174C15" w14:paraId="65647A56" w14:textId="77777777" w:rsidTr="00F62C10">
        <w:tc>
          <w:tcPr>
            <w:tcW w:w="871" w:type="dxa"/>
          </w:tcPr>
          <w:p w14:paraId="511F331D" w14:textId="6A29EAED" w:rsidR="00F62C10" w:rsidRPr="00F62C10" w:rsidRDefault="00F6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34" w:type="dxa"/>
          </w:tcPr>
          <w:p w14:paraId="34F8CFEE" w14:textId="43CF92E5" w:rsidR="00F62C10" w:rsidRPr="00F62C10" w:rsidRDefault="00F62C1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TGAGAGTGGCCCCGGCTGCATGAGCTGCAAGTGTGTGCTCTCCtaaacaactttattatacaaagttgg</w:t>
            </w:r>
          </w:p>
        </w:tc>
        <w:tc>
          <w:tcPr>
            <w:tcW w:w="3145" w:type="dxa"/>
          </w:tcPr>
          <w:p w14:paraId="484DA29F" w14:textId="1A651E6C" w:rsidR="00F62C10" w:rsidRPr="00F62C10" w:rsidRDefault="00F6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Primer used for Q5 mutagenesis to add a GGSGGGSGG linker to the C-terminal end of mRuby3</w:t>
            </w:r>
          </w:p>
        </w:tc>
      </w:tr>
      <w:tr w:rsidR="00F62C10" w:rsidRPr="00174C15" w14:paraId="42342385" w14:textId="77777777" w:rsidTr="00F62C10">
        <w:tc>
          <w:tcPr>
            <w:tcW w:w="871" w:type="dxa"/>
          </w:tcPr>
          <w:p w14:paraId="7501111C" w14:textId="0CE2045D" w:rsidR="00F62C10" w:rsidRPr="00F62C10" w:rsidRDefault="00F6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34" w:type="dxa"/>
          </w:tcPr>
          <w:p w14:paraId="44FA5423" w14:textId="0F1F9AD9" w:rsidR="00F62C10" w:rsidRPr="00F62C10" w:rsidRDefault="00F62C1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62C1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TCAGGAGGGTTCAGCTTGCCGCCGCTGCCGCCGCCGCTGCCGCCcttgtacagctcgtccatg</w:t>
            </w:r>
            <w:proofErr w:type="spellEnd"/>
          </w:p>
        </w:tc>
        <w:tc>
          <w:tcPr>
            <w:tcW w:w="3145" w:type="dxa"/>
          </w:tcPr>
          <w:p w14:paraId="527A8B05" w14:textId="7667E3FC" w:rsidR="00F62C10" w:rsidRPr="00F62C10" w:rsidRDefault="00F6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2C10">
              <w:rPr>
                <w:rFonts w:ascii="Times New Roman" w:hAnsi="Times New Roman" w:cs="Times New Roman"/>
                <w:sz w:val="22"/>
                <w:szCs w:val="22"/>
              </w:rPr>
              <w:t>Primer used for Q5 mutagenesis to add a CAAX tag to the C-terminal end of mRuby3</w:t>
            </w:r>
          </w:p>
        </w:tc>
      </w:tr>
    </w:tbl>
    <w:p w14:paraId="42632FB4" w14:textId="77777777" w:rsidR="00174C15" w:rsidRPr="00174C15" w:rsidRDefault="00174C15">
      <w:pPr>
        <w:rPr>
          <w:rFonts w:ascii="Times New Roman" w:hAnsi="Times New Roman" w:cs="Times New Roman"/>
        </w:rPr>
      </w:pPr>
    </w:p>
    <w:sectPr w:rsidR="00174C15" w:rsidRPr="00174C15" w:rsidSect="0047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autoHyphenation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15"/>
    <w:rsid w:val="00174C15"/>
    <w:rsid w:val="00472D9F"/>
    <w:rsid w:val="006F757E"/>
    <w:rsid w:val="00731B74"/>
    <w:rsid w:val="00AC36BB"/>
    <w:rsid w:val="00CA4F7F"/>
    <w:rsid w:val="00D94B91"/>
    <w:rsid w:val="00DC2668"/>
    <w:rsid w:val="00F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10FA3"/>
  <w15:chartTrackingRefBased/>
  <w15:docId w15:val="{A60883AB-C46F-C847-AAD0-ADC8075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15"/>
    <w:pPr>
      <w:spacing w:line="480" w:lineRule="auto"/>
      <w:outlineLvl w:val="0"/>
    </w:pPr>
    <w:rPr>
      <w:rFonts w:ascii="Times New Roman" w:hAnsi="Times New Roman" w:cs="Times New Roman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C15"/>
    <w:rPr>
      <w:rFonts w:ascii="Times New Roman" w:hAnsi="Times New Roman" w:cs="Times New Roman"/>
      <w:b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4C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1762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Kennard</dc:creator>
  <cp:keywords/>
  <dc:description/>
  <cp:lastModifiedBy>Andrew Kennard</cp:lastModifiedBy>
  <cp:revision>1</cp:revision>
  <dcterms:created xsi:type="dcterms:W3CDTF">2020-11-05T18:32:00Z</dcterms:created>
  <dcterms:modified xsi:type="dcterms:W3CDTF">2020-11-05T19:02:00Z</dcterms:modified>
  <cp:category/>
</cp:coreProperties>
</file>