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938E1" w14:textId="6A3FD164" w:rsidR="00703479" w:rsidRPr="001B6224" w:rsidRDefault="004D4469" w:rsidP="00812CD8">
      <w:pPr>
        <w:pStyle w:val="a9"/>
        <w:spacing w:before="0" w:beforeAutospacing="0" w:after="0" w:afterAutospacing="0"/>
        <w:rPr>
          <w:rFonts w:eastAsia="宋体"/>
          <w:b/>
          <w:bCs/>
          <w:color w:val="000000"/>
          <w:sz w:val="22"/>
          <w:szCs w:val="22"/>
          <w:lang w:eastAsia="zh-CN"/>
        </w:rPr>
      </w:pPr>
      <w:r>
        <w:rPr>
          <w:rFonts w:eastAsia="宋体" w:hint="eastAsia"/>
          <w:b/>
          <w:bCs/>
          <w:color w:val="000000"/>
          <w:sz w:val="22"/>
          <w:szCs w:val="22"/>
          <w:lang w:eastAsia="zh-CN"/>
        </w:rPr>
        <w:t>Supplementary File 1</w:t>
      </w:r>
      <w:r w:rsidR="00796BBC" w:rsidRPr="001B6224">
        <w:rPr>
          <w:rFonts w:eastAsia="宋体"/>
          <w:b/>
          <w:bCs/>
          <w:color w:val="000000"/>
          <w:sz w:val="22"/>
          <w:szCs w:val="22"/>
          <w:lang w:eastAsia="zh-CN"/>
        </w:rPr>
        <w:t>. List of oligonucleotides</w:t>
      </w:r>
    </w:p>
    <w:p w14:paraId="5F5D0983" w14:textId="77777777" w:rsidR="00796BBC" w:rsidRPr="001B6224" w:rsidRDefault="00796BBC" w:rsidP="00812CD8">
      <w:pPr>
        <w:pStyle w:val="a9"/>
        <w:spacing w:before="0" w:beforeAutospacing="0" w:after="0" w:afterAutospacing="0"/>
        <w:rPr>
          <w:rFonts w:eastAsia="宋体"/>
          <w:sz w:val="22"/>
          <w:szCs w:val="22"/>
          <w:lang w:eastAsia="zh-C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43"/>
        <w:gridCol w:w="1701"/>
        <w:gridCol w:w="1701"/>
        <w:gridCol w:w="3827"/>
      </w:tblGrid>
      <w:tr w:rsidR="00796BBC" w:rsidRPr="001B6224" w14:paraId="4B6CF7FA" w14:textId="77777777" w:rsidTr="00796BBC">
        <w:trPr>
          <w:trHeight w:val="417"/>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3BDE3" w14:textId="77777777" w:rsidR="00796BBC" w:rsidRPr="001B6224" w:rsidRDefault="00796BBC" w:rsidP="002F6263">
            <w:pPr>
              <w:pStyle w:val="a9"/>
              <w:spacing w:before="0" w:beforeAutospacing="0" w:after="0" w:afterAutospacing="0"/>
              <w:ind w:left="120" w:right="120"/>
              <w:rPr>
                <w:sz w:val="22"/>
                <w:szCs w:val="22"/>
              </w:rPr>
            </w:pPr>
            <w:r w:rsidRPr="001B6224">
              <w:rPr>
                <w:b/>
                <w:bCs/>
                <w:color w:val="000000"/>
                <w:sz w:val="22"/>
                <w:szCs w:val="22"/>
              </w:rPr>
              <w:t>Designation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860DD" w14:textId="77777777" w:rsidR="00796BBC" w:rsidRPr="001B6224" w:rsidRDefault="00796BBC" w:rsidP="002F6263">
            <w:pPr>
              <w:pStyle w:val="a9"/>
              <w:spacing w:before="0" w:beforeAutospacing="0" w:after="0" w:afterAutospacing="0"/>
              <w:ind w:left="120" w:right="120"/>
              <w:rPr>
                <w:sz w:val="22"/>
                <w:szCs w:val="22"/>
              </w:rPr>
            </w:pPr>
            <w:r w:rsidRPr="001B6224">
              <w:rPr>
                <w:b/>
                <w:bCs/>
                <w:color w:val="000000"/>
                <w:sz w:val="22"/>
                <w:szCs w:val="22"/>
              </w:rPr>
              <w:t>Source or reference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8EF5A" w14:textId="77777777" w:rsidR="00796BBC" w:rsidRPr="001B6224" w:rsidRDefault="00796BBC" w:rsidP="002F6263">
            <w:pPr>
              <w:pStyle w:val="a9"/>
              <w:spacing w:before="0" w:beforeAutospacing="0" w:after="0" w:afterAutospacing="0"/>
              <w:ind w:left="120" w:right="120"/>
              <w:rPr>
                <w:sz w:val="22"/>
                <w:szCs w:val="22"/>
              </w:rPr>
            </w:pPr>
            <w:r w:rsidRPr="001B6224">
              <w:rPr>
                <w:b/>
                <w:bCs/>
                <w:color w:val="000000"/>
                <w:sz w:val="22"/>
                <w:szCs w:val="22"/>
              </w:rPr>
              <w:t>Identifiers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32D48" w14:textId="77777777" w:rsidR="00796BBC" w:rsidRPr="001B6224" w:rsidRDefault="00796BBC" w:rsidP="002F6263">
            <w:pPr>
              <w:pStyle w:val="a9"/>
              <w:spacing w:before="0" w:beforeAutospacing="0" w:after="0" w:afterAutospacing="0"/>
              <w:ind w:left="120" w:right="120"/>
              <w:rPr>
                <w:sz w:val="22"/>
                <w:szCs w:val="22"/>
              </w:rPr>
            </w:pPr>
            <w:r w:rsidRPr="001B6224">
              <w:rPr>
                <w:b/>
                <w:bCs/>
                <w:color w:val="000000"/>
                <w:sz w:val="22"/>
                <w:szCs w:val="22"/>
              </w:rPr>
              <w:t>Additional information</w:t>
            </w:r>
          </w:p>
        </w:tc>
      </w:tr>
      <w:tr w:rsidR="00796BBC" w:rsidRPr="001B6224" w14:paraId="63F83BAA" w14:textId="77777777" w:rsidTr="00796BBC">
        <w:trPr>
          <w:trHeight w:val="484"/>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63E457" w14:textId="5688F803" w:rsidR="00796BBC" w:rsidRPr="001B6224" w:rsidRDefault="00FE68C8" w:rsidP="002F6263">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Pr="00FE68C8">
              <w:rPr>
                <w:rFonts w:eastAsia="宋体" w:hint="eastAsia"/>
                <w:i/>
                <w:color w:val="000000"/>
                <w:sz w:val="22"/>
                <w:szCs w:val="22"/>
                <w:lang w:eastAsia="zh-CN"/>
              </w:rPr>
              <w:t>d</w:t>
            </w:r>
            <w:r w:rsidR="00796BBC" w:rsidRPr="00FE68C8">
              <w:rPr>
                <w:rFonts w:eastAsia="宋体"/>
                <w:i/>
                <w:color w:val="000000"/>
                <w:sz w:val="22"/>
                <w:szCs w:val="22"/>
                <w:lang w:eastAsia="zh-CN"/>
              </w:rPr>
              <w:t>4</w:t>
            </w:r>
            <w:r w:rsidR="00796BBC" w:rsidRPr="00FE68C8">
              <w:rPr>
                <w:rFonts w:eastAsia="宋体"/>
                <w:i/>
                <w:color w:val="000000"/>
                <w:sz w:val="22"/>
                <w:szCs w:val="22"/>
                <w:vertAlign w:val="superscript"/>
                <w:lang w:eastAsia="zh-CN"/>
              </w:rPr>
              <w:t>Cre</w:t>
            </w:r>
            <w:r w:rsidR="00796BBC" w:rsidRPr="001B6224">
              <w:rPr>
                <w:rFonts w:eastAsia="宋体"/>
                <w:color w:val="000000"/>
                <w:sz w:val="22"/>
                <w:szCs w:val="22"/>
                <w:lang w:eastAsia="zh-CN"/>
              </w:rPr>
              <w:t>-F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BC156" w14:textId="77777777" w:rsidR="00796BBC" w:rsidRPr="001B6224" w:rsidRDefault="00796BBC" w:rsidP="002F626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fldChar w:fldCharType="begin" w:fldLock="1"/>
            </w:r>
            <w:r w:rsidRPr="001B6224">
              <w:rPr>
                <w:rFonts w:eastAsia="宋体"/>
                <w:color w:val="000000"/>
                <w:sz w:val="22"/>
                <w:szCs w:val="22"/>
                <w:lang w:eastAsia="zh-CN"/>
              </w:rPr>
              <w:instrText>ADDIN CSL_CITATION {"citationItems":[{"id":"ITEM-1","itemData":{"DOI":"10.1007/s12033-007-9002-y","ISSN":"10736085","abstract":"The apoptotic adapter protein FADD has been shown to play diverse roles in cell survival and proliferation. FADD knockout embryos died of heart defects, rendering Cre/loxP-mediated conditional FADD knockout mice a unique tool for investigating FADD-dependent nonapoptotic mechanism. Previously, these genetically engineered mice were identified by time-consuming Southern blot or controversial real-time PCR. In this article, we report a novel genotyping strategy based on allele-specific inverse PCR (ASI-PCR) for rapid and reliable identification of conditional FADD knockout mice. In this strategy, the knockout nature of FADD was simply identified by screening the absence of the wild type FADD-specific ASI-PCR product. Using this method, we accurately identified CD4-Cre-mediated T cell specific FADD knockout mice. The whole process can be accomplished in any normal biological laboratory within 12 h using genomic DNA from tail biopsy. The proposed ASI-PCR-based approach is simple, rapid, sensitive, reproducible, and especially suitable for genotyping small amount of spatiotemporally restricted biopsies and large animal population. We believe that the strategy described in this article may be of general utility in genotyping other conditional gene knockout mice. © 2007 Humana Press Inc.","author":[{"dropping-particle":"","family":"Dong","given":"Xiangbai","non-dropping-particle":"","parse-names":false,"suffix":""},{"dropping-particle":"","family":"Li","given":"Jie","non-dropping-particle":"","parse-names":false,"suffix":""},{"dropping-particle":"","family":"Li","given":"Shufeng","non-dropping-particle":"","parse-names":false,"suffix":""},{"dropping-particle":"","family":"Zhang","given":"Jing","non-dropping-particle":"","parse-names":false,"suffix":""},{"dropping-particle":"","family":"Hua","given":"Zi Chun","non-dropping-particle":"","parse-names":false,"suffix":""}],"container-title":"Molecular Biotechnology","id":"ITEM-1","issue":"2","issued":{"date-parts":[["2008"]]},"page":"129-135","title":"A novel genotyping strategy based on allele-specific inverse PCR for rapid and reliable identification of conditional FADD knockout mice","type":"article-journal","volume":"38"},"uris":["http://www.mendeley.com/documents/?uuid=46d5c1a3-654a-484c-a744-560cfb6db778"]}],"mendeley":{"formattedCitation":"(Dong et al., 2008)","plainTextFormattedCitation":"(Dong et al., 2008)","previouslyFormattedCitation":"(Dong et al., 2008)"},"properties":{"noteIndex":0},"schema":"https://github.com/citation-style-language/schema/raw/master/csl-citation.json"}</w:instrText>
            </w:r>
            <w:r w:rsidRPr="001B6224">
              <w:rPr>
                <w:rFonts w:eastAsia="宋体"/>
                <w:color w:val="000000"/>
                <w:sz w:val="22"/>
                <w:szCs w:val="22"/>
                <w:lang w:eastAsia="zh-CN"/>
              </w:rPr>
              <w:fldChar w:fldCharType="separate"/>
            </w:r>
            <w:r w:rsidRPr="001B6224">
              <w:rPr>
                <w:rFonts w:eastAsia="宋体"/>
                <w:noProof/>
                <w:color w:val="000000"/>
                <w:sz w:val="22"/>
                <w:szCs w:val="22"/>
                <w:lang w:eastAsia="zh-CN"/>
              </w:rPr>
              <w:t>(Dong et al., 2008)</w:t>
            </w:r>
            <w:r w:rsidRPr="001B6224">
              <w:rPr>
                <w:rFonts w:eastAsia="宋体"/>
                <w:color w:val="000000"/>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74D103" w14:textId="77777777" w:rsidR="00796BBC" w:rsidRPr="001B6224" w:rsidRDefault="00796BBC" w:rsidP="002F6263">
            <w:pPr>
              <w:pStyle w:val="a9"/>
              <w:spacing w:before="0" w:beforeAutospacing="0" w:after="0" w:afterAutospacing="0"/>
              <w:ind w:left="120" w:right="120"/>
              <w:rPr>
                <w:color w:val="000000"/>
                <w:sz w:val="22"/>
                <w:szCs w:val="22"/>
              </w:rPr>
            </w:pPr>
            <w:r w:rsidRPr="001B6224">
              <w:rPr>
                <w:rFonts w:eastAsia="宋体"/>
                <w:color w:val="000000"/>
                <w:sz w:val="22"/>
                <w:szCs w:val="22"/>
                <w:lang w:eastAsia="zh-CN"/>
              </w:rPr>
              <w: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8358F3" w14:textId="77777777" w:rsidR="00796BBC" w:rsidRPr="001B6224" w:rsidRDefault="00796BBC" w:rsidP="002F6263">
            <w:pPr>
              <w:pStyle w:val="a9"/>
              <w:spacing w:before="0" w:beforeAutospacing="0" w:after="0" w:afterAutospacing="0"/>
              <w:ind w:left="120" w:right="120"/>
              <w:rPr>
                <w:color w:val="000000"/>
                <w:sz w:val="22"/>
                <w:szCs w:val="22"/>
              </w:rPr>
            </w:pPr>
            <w:r w:rsidRPr="001B6224">
              <w:rPr>
                <w:color w:val="000000"/>
                <w:sz w:val="22"/>
                <w:szCs w:val="22"/>
              </w:rPr>
              <w:t>AGGGTCGGAGACAATAACGG</w:t>
            </w:r>
          </w:p>
        </w:tc>
      </w:tr>
      <w:tr w:rsidR="00796BBC" w:rsidRPr="001B6224" w14:paraId="5D0F5634" w14:textId="77777777" w:rsidTr="00796BBC">
        <w:trPr>
          <w:trHeight w:val="497"/>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B474E5" w14:textId="022EE1C8"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d</w:t>
            </w:r>
            <w:r w:rsidRPr="00FE68C8">
              <w:rPr>
                <w:rFonts w:eastAsia="宋体"/>
                <w:i/>
                <w:color w:val="000000"/>
                <w:sz w:val="22"/>
                <w:szCs w:val="22"/>
                <w:lang w:eastAsia="zh-CN"/>
              </w:rPr>
              <w:t>4</w:t>
            </w:r>
            <w:r w:rsidRPr="00FE68C8">
              <w:rPr>
                <w:rFonts w:eastAsia="宋体"/>
                <w:i/>
                <w:color w:val="000000"/>
                <w:sz w:val="22"/>
                <w:szCs w:val="22"/>
                <w:vertAlign w:val="superscript"/>
                <w:lang w:eastAsia="zh-CN"/>
              </w:rPr>
              <w:t>Cre</w:t>
            </w:r>
            <w:r w:rsidRPr="001B6224">
              <w:rPr>
                <w:rFonts w:eastAsia="宋体"/>
                <w:color w:val="000000"/>
                <w:sz w:val="22"/>
                <w:szCs w:val="22"/>
                <w:lang w:eastAsia="zh-CN"/>
              </w:rPr>
              <w:t>-R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56091" w14:textId="4DF90B7E"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fldChar w:fldCharType="begin" w:fldLock="1"/>
            </w:r>
            <w:r w:rsidRPr="001B6224">
              <w:rPr>
                <w:rFonts w:eastAsia="宋体"/>
                <w:color w:val="000000"/>
                <w:sz w:val="22"/>
                <w:szCs w:val="22"/>
                <w:lang w:eastAsia="zh-CN"/>
              </w:rPr>
              <w:instrText>ADDIN CSL_CITATION {"citationItems":[{"id":"ITEM-1","itemData":{"DOI":"10.1007/s12033-007-9002-y","ISSN":"10736085","abstract":"The apoptotic adapter protein FADD has been shown to play diverse roles in cell survival and proliferation. FADD knockout embryos died of heart defects, rendering Cre/loxP-mediated conditional FADD knockout mice a unique tool for investigating FADD-dependent nonapoptotic mechanism. Previously, these genetically engineered mice were identified by time-consuming Southern blot or controversial real-time PCR. In this article, we report a novel genotyping strategy based on allele-specific inverse PCR (ASI-PCR) for rapid and reliable identification of conditional FADD knockout mice. In this strategy, the knockout nature of FADD was simply identified by screening the absence of the wild type FADD-specific ASI-PCR product. Using this method, we accurately identified CD4-Cre-mediated T cell specific FADD knockout mice. The whole process can be accomplished in any normal biological laboratory within 12 h using genomic DNA from tail biopsy. The proposed ASI-PCR-based approach is simple, rapid, sensitive, reproducible, and especially suitable for genotyping small amount of spatiotemporally restricted biopsies and large animal population. We believe that the strategy described in this article may be of general utility in genotyping other conditional gene knockout mice. © 2007 Humana Press Inc.","author":[{"dropping-particle":"","family":"Dong","given":"Xiangbai","non-dropping-particle":"","parse-names":false,"suffix":""},{"dropping-particle":"","family":"Li","given":"Jie","non-dropping-particle":"","parse-names":false,"suffix":""},{"dropping-particle":"","family":"Li","given":"Shufeng","non-dropping-particle":"","parse-names":false,"suffix":""},{"dropping-particle":"","family":"Zhang","given":"Jing","non-dropping-particle":"","parse-names":false,"suffix":""},{"dropping-particle":"","family":"Hua","given":"Zi Chun","non-dropping-particle":"","parse-names":false,"suffix":""}],"container-title":"Molecular Biotechnology","id":"ITEM-1","issue":"2","issued":{"date-parts":[["2008"]]},"page":"129-135","title":"A novel genotyping strategy based on allele-specific inverse PCR for rapid and reliable identification of conditional FADD knockout mice","type":"article-journal","volume":"38"},"uris":["http://www.mendeley.com/documents/?uuid=46d5c1a3-654a-484c-a744-560cfb6db778"]}],"mendeley":{"formattedCitation":"(Dong et al., 2008)","plainTextFormattedCitation":"(Dong et al., 2008)","previouslyFormattedCitation":"(Dong et al., 2008)"},"properties":{"noteIndex":0},"schema":"https://github.com/citation-style-language/schema/raw/master/csl-citation.json"}</w:instrText>
            </w:r>
            <w:r w:rsidRPr="001B6224">
              <w:rPr>
                <w:rFonts w:eastAsia="宋体"/>
                <w:color w:val="000000"/>
                <w:sz w:val="22"/>
                <w:szCs w:val="22"/>
                <w:lang w:eastAsia="zh-CN"/>
              </w:rPr>
              <w:fldChar w:fldCharType="separate"/>
            </w:r>
            <w:r w:rsidRPr="001B6224">
              <w:rPr>
                <w:rFonts w:eastAsia="宋体"/>
                <w:noProof/>
                <w:color w:val="000000"/>
                <w:sz w:val="22"/>
                <w:szCs w:val="22"/>
                <w:lang w:eastAsia="zh-CN"/>
              </w:rPr>
              <w:t>(Dong et al., 2008)</w:t>
            </w:r>
            <w:r w:rsidRPr="001B6224">
              <w:rPr>
                <w:rFonts w:eastAsia="宋体"/>
                <w:color w:val="000000"/>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865952"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rFonts w:eastAsia="宋体"/>
                <w:color w:val="000000"/>
                <w:sz w:val="22"/>
                <w:szCs w:val="22"/>
                <w:lang w:eastAsia="zh-CN"/>
              </w:rPr>
              <w: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1D4C91"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color w:val="000000"/>
                <w:sz w:val="22"/>
                <w:szCs w:val="22"/>
              </w:rPr>
              <w:t>TTGCGAACCTCATCACTCGT</w:t>
            </w:r>
          </w:p>
        </w:tc>
      </w:tr>
      <w:tr w:rsidR="00796BBC" w:rsidRPr="001B6224" w14:paraId="541392E7" w14:textId="77777777" w:rsidTr="00796BBC">
        <w:trPr>
          <w:trHeight w:val="480"/>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692785" w14:textId="178EEFF8"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 xml:space="preserve">WT </w:t>
            </w: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ul</w:t>
            </w:r>
            <w:r w:rsidRPr="00FE68C8">
              <w:rPr>
                <w:rFonts w:eastAsia="宋体"/>
                <w:i/>
                <w:color w:val="000000"/>
                <w:sz w:val="22"/>
                <w:szCs w:val="22"/>
                <w:lang w:eastAsia="zh-CN"/>
              </w:rPr>
              <w:t>3</w:t>
            </w:r>
            <w:r w:rsidRPr="001B6224">
              <w:rPr>
                <w:rFonts w:eastAsia="宋体"/>
                <w:color w:val="000000"/>
                <w:sz w:val="22"/>
                <w:szCs w:val="22"/>
                <w:lang w:eastAsia="zh-CN"/>
              </w:rPr>
              <w:t>-F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DE42C" w14:textId="1512DC55"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The Jackson Lab</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C73111"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rFonts w:eastAsia="宋体"/>
                <w:color w:val="000000"/>
                <w:sz w:val="22"/>
                <w:szCs w:val="22"/>
                <w:lang w:eastAsia="zh-CN"/>
              </w:rPr>
              <w: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B24525"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color w:val="000000"/>
                <w:sz w:val="22"/>
                <w:szCs w:val="22"/>
              </w:rPr>
              <w:t>CAGGGCTGTAATTCTGTCTGG</w:t>
            </w:r>
          </w:p>
        </w:tc>
      </w:tr>
      <w:tr w:rsidR="00796BBC" w:rsidRPr="001B6224" w14:paraId="2E35B027" w14:textId="77777777" w:rsidTr="00796BBC">
        <w:trPr>
          <w:trHeight w:val="345"/>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3995A3" w14:textId="79324BD3"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 xml:space="preserve">Mutant </w:t>
            </w: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ul</w:t>
            </w:r>
            <w:r w:rsidRPr="00FE68C8">
              <w:rPr>
                <w:rFonts w:eastAsia="宋体"/>
                <w:i/>
                <w:color w:val="000000"/>
                <w:sz w:val="22"/>
                <w:szCs w:val="22"/>
                <w:lang w:eastAsia="zh-CN"/>
              </w:rPr>
              <w:t>3</w:t>
            </w:r>
            <w:r w:rsidRPr="001B6224">
              <w:rPr>
                <w:rFonts w:eastAsia="宋体"/>
                <w:color w:val="000000"/>
                <w:sz w:val="22"/>
                <w:szCs w:val="22"/>
                <w:lang w:eastAsia="zh-CN"/>
              </w:rPr>
              <w:t>-F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2E7876" w14:textId="0BE927F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The Jackson Lab</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D03670"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rFonts w:eastAsia="宋体"/>
                <w:color w:val="000000"/>
                <w:sz w:val="22"/>
                <w:szCs w:val="22"/>
                <w:lang w:eastAsia="zh-CN"/>
              </w:rPr>
              <w: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C52BFF"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color w:val="000000"/>
                <w:sz w:val="22"/>
                <w:szCs w:val="22"/>
              </w:rPr>
              <w:t>AGACTGCCTTGGGAAAAGCG</w:t>
            </w:r>
          </w:p>
        </w:tc>
      </w:tr>
      <w:tr w:rsidR="00796BBC" w:rsidRPr="001B6224" w14:paraId="72077670" w14:textId="77777777" w:rsidTr="00796BBC">
        <w:trPr>
          <w:trHeight w:val="327"/>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081EAD" w14:textId="0D986649" w:rsidR="00796BBC" w:rsidRPr="001B6224" w:rsidRDefault="00FE68C8" w:rsidP="00990E33">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Pr="00FE68C8">
              <w:rPr>
                <w:rFonts w:eastAsia="宋体" w:hint="eastAsia"/>
                <w:i/>
                <w:color w:val="000000"/>
                <w:sz w:val="22"/>
                <w:szCs w:val="22"/>
                <w:lang w:eastAsia="zh-CN"/>
              </w:rPr>
              <w:t>ul</w:t>
            </w:r>
            <w:r w:rsidR="00796BBC" w:rsidRPr="00FE68C8">
              <w:rPr>
                <w:rFonts w:eastAsia="宋体"/>
                <w:i/>
                <w:color w:val="000000"/>
                <w:sz w:val="22"/>
                <w:szCs w:val="22"/>
                <w:lang w:eastAsia="zh-CN"/>
              </w:rPr>
              <w:t>3</w:t>
            </w:r>
            <w:r w:rsidR="00796BBC" w:rsidRPr="001B6224">
              <w:rPr>
                <w:rFonts w:eastAsia="宋体"/>
                <w:color w:val="000000"/>
                <w:sz w:val="22"/>
                <w:szCs w:val="22"/>
                <w:lang w:eastAsia="zh-CN"/>
              </w:rPr>
              <w:t>-R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8DCACF" w14:textId="7CB21F74" w:rsidR="00796BBC" w:rsidRPr="001B6224" w:rsidRDefault="00C512DB"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The Jackson Lab</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AA39B2"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rFonts w:eastAsia="宋体"/>
                <w:color w:val="000000"/>
                <w:sz w:val="22"/>
                <w:szCs w:val="22"/>
                <w:lang w:eastAsia="zh-CN"/>
              </w:rPr>
              <w: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43AFA" w14:textId="77777777" w:rsidR="00796BBC" w:rsidRPr="001B6224" w:rsidRDefault="00796BBC" w:rsidP="00990E33">
            <w:pPr>
              <w:pStyle w:val="a9"/>
              <w:spacing w:before="0" w:beforeAutospacing="0" w:after="0" w:afterAutospacing="0"/>
              <w:ind w:left="120" w:right="120"/>
              <w:rPr>
                <w:color w:val="000000"/>
                <w:sz w:val="22"/>
                <w:szCs w:val="22"/>
              </w:rPr>
            </w:pPr>
            <w:r w:rsidRPr="001B6224">
              <w:rPr>
                <w:color w:val="000000"/>
                <w:sz w:val="22"/>
                <w:szCs w:val="22"/>
              </w:rPr>
              <w:t>ATGCTCCCTACCATGCAAAC</w:t>
            </w:r>
          </w:p>
        </w:tc>
      </w:tr>
      <w:tr w:rsidR="00796BBC" w:rsidRPr="001B6224" w14:paraId="29EB0366" w14:textId="77777777" w:rsidTr="00796BBC">
        <w:trPr>
          <w:trHeight w:val="464"/>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2BFBB3" w14:textId="78D435CF" w:rsidR="00796BBC" w:rsidRPr="001B6224" w:rsidRDefault="00796BBC" w:rsidP="00C512DB">
            <w:pPr>
              <w:pStyle w:val="a9"/>
              <w:spacing w:before="0" w:beforeAutospacing="0" w:after="0" w:afterAutospacing="0"/>
              <w:ind w:left="120" w:right="120"/>
              <w:rPr>
                <w:rFonts w:eastAsia="宋体"/>
                <w:sz w:val="22"/>
                <w:szCs w:val="22"/>
                <w:lang w:eastAsia="zh-CN"/>
              </w:rPr>
            </w:pPr>
            <w:r w:rsidRPr="00FE68C8">
              <w:rPr>
                <w:rFonts w:eastAsia="宋体"/>
                <w:i/>
                <w:color w:val="000000"/>
                <w:sz w:val="22"/>
                <w:szCs w:val="22"/>
                <w:lang w:eastAsia="zh-CN"/>
              </w:rPr>
              <w:t>A</w:t>
            </w:r>
            <w:r w:rsidR="00FE68C8" w:rsidRPr="00FE68C8">
              <w:rPr>
                <w:rFonts w:eastAsia="宋体" w:hint="eastAsia"/>
                <w:i/>
                <w:color w:val="000000"/>
                <w:sz w:val="22"/>
                <w:szCs w:val="22"/>
                <w:lang w:eastAsia="zh-CN"/>
              </w:rPr>
              <w:t>cly</w:t>
            </w:r>
            <w:r w:rsidRPr="001B6224">
              <w:rPr>
                <w:rFonts w:eastAsia="宋体"/>
                <w:color w:val="000000"/>
                <w:sz w:val="22"/>
                <w:szCs w:val="22"/>
                <w:lang w:eastAsia="zh-CN"/>
              </w:rPr>
              <w:t>-F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63E66E" w14:textId="4B94799E" w:rsidR="00796BBC" w:rsidRPr="001B6224" w:rsidRDefault="00796BBC" w:rsidP="00990E33">
            <w:pPr>
              <w:pStyle w:val="a9"/>
              <w:spacing w:before="0" w:beforeAutospacing="0" w:after="0" w:afterAutospacing="0"/>
              <w:ind w:left="120" w:right="120"/>
              <w:rPr>
                <w:sz w:val="22"/>
                <w:szCs w:val="22"/>
                <w:lang w:eastAsia="zh-CN"/>
              </w:rPr>
            </w:pPr>
            <w:r w:rsidRPr="001B6224">
              <w:rPr>
                <w:sz w:val="22"/>
                <w:szCs w:val="22"/>
                <w:lang w:eastAsia="zh-CN"/>
              </w:rPr>
              <w:fldChar w:fldCharType="begin" w:fldLock="1"/>
            </w:r>
            <w:r w:rsidRPr="001B6224">
              <w:rPr>
                <w:sz w:val="22"/>
                <w:szCs w:val="22"/>
                <w:lang w:eastAsia="zh-CN"/>
              </w:rPr>
              <w:instrText>ADDIN CSL_CITATION {"citationItems":[{"id":"ITEM-1","itemData":{"DOI":"10.1128/jvi.02363-14","ISSN":"0022-538X","PMID":"25339766","abstract":"The development of hepatitis B virus (HBV)-related hepatocellular carcinoma (HCC) has been found to be associated with disturbed lipid metabolism. To elucidate the role of lipid metabolism in HBV tumorigenesis, we investigated the dynamic pattern of lipid metabolism in HBV pre-S2 mutant-induced tumorigenesis. Lipid and gene expression profiles were analyzed in an in vitro culture system and in transgenic mouse livers harboring HBV pre-S2 mutant. The pre-S2 mutant transgenic livers showed a biphasic pattern of lipid accumulation, starting from mild fatty change in early (1 month) transgenic livers, which subsided and then, remarkably, increased in HCC tissues. This biphasic pattern was synchronized with ATP citrate lyase (ACLY) activation. Further analyses revealed that the pre-S2 mutant initiated an endoplasmic reticulum (ER) stress-dependent mammalian target of rapamycin (mTOR) signalling cascade. The pre-S2 mutant-induced mTOR signal activated the sterol regulatory element binding transcription factor 1 (SREBF1) to upregulate ACLY, which then activated the fatty acid desaturase 2 (FADS2), mediated through ACLY-dependent histone acetylation. Such an ER stress-dependent mTOR signal cascade also is important for the proliferation of hepatocytes in vitro and is further validated in HBV-related HCC tissues. IMPORTANCE Aberrations of lipid metabolism frequently occur in chronic HBV infection. Our results provide a potential mechanism of disturbed lipid metabolism in HBV pre-S2 mutant-induced tumorigenesis, which should be valuable for the design of HCC chemoprevention in high-risk HBV carriers.","author":[{"dropping-particle":"","family":"Teng","given":"Chiao-Fang","non-dropping-particle":"","parse-names":false,"suffix":""},{"dropping-particle":"","family":"Wu","given":"Han-Chieh","non-dropping-particle":"","parse-names":false,"suffix":""},{"dropping-particle":"","family":"Hsieh","given":"Wen-Chuan","non-dropping-particle":"","parse-names":false,"suffix":""},{"dropping-particle":"","family":"Tsai","given":"Hung-Wen","non-dropping-particle":"","parse-names":false,"suffix":""},{"dropping-particle":"","family":"Su","given":"Ih-Jen","non-dropping-particle":"","parse-names":false,"suffix":""}],"container-title":"Journal of Virology","id":"ITEM-1","issue":"1","issued":{"date-parts":[["2015"]]},"page":"605-614","title":"Activation of ATP citrate lyase by mTOR signal induces disturbed lipid metabolism in hepatitis B virus pre-S2 mutant tumorigenesis","type":"article-journal","volume":"89"},"uris":["http://www.mendeley.com/documents/?uuid=84973fb3-2fde-4aa7-b0fb-498161902404"]}],"mendeley":{"formattedCitation":"(Teng et al., 2015)","plainTextFormattedCitation":"(Teng et al., 2015)","previouslyFormattedCitation":"(Teng et al., 2015)"},"properties":{"noteIndex":0},"schema":"https://github.com/citation-style-language/schema/raw/master/csl-citation.json"}</w:instrText>
            </w:r>
            <w:r w:rsidRPr="001B6224">
              <w:rPr>
                <w:sz w:val="22"/>
                <w:szCs w:val="22"/>
                <w:lang w:eastAsia="zh-CN"/>
              </w:rPr>
              <w:fldChar w:fldCharType="separate"/>
            </w:r>
            <w:r w:rsidRPr="001B6224">
              <w:rPr>
                <w:noProof/>
                <w:sz w:val="22"/>
                <w:szCs w:val="22"/>
                <w:lang w:eastAsia="zh-CN"/>
              </w:rPr>
              <w:t>(Teng et al., 2015)</w:t>
            </w:r>
            <w:r w:rsidRPr="001B6224">
              <w:rPr>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8BF317"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color w:val="000000"/>
                <w:sz w:val="22"/>
                <w:szCs w:val="22"/>
                <w:lang w:eastAsia="zh-CN"/>
              </w:rPr>
              <w:t>RT-PCR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F966D5" w14:textId="77777777" w:rsidR="00796BBC" w:rsidRPr="001B6224" w:rsidRDefault="00796BBC" w:rsidP="00990E33">
            <w:pPr>
              <w:pStyle w:val="a9"/>
              <w:spacing w:before="0" w:beforeAutospacing="0" w:after="0" w:afterAutospacing="0"/>
              <w:ind w:left="120" w:right="120"/>
              <w:rPr>
                <w:sz w:val="22"/>
                <w:szCs w:val="22"/>
                <w:lang w:eastAsia="zh-CN"/>
              </w:rPr>
            </w:pPr>
            <w:bookmarkStart w:id="0" w:name="OLE_LINK44"/>
            <w:bookmarkStart w:id="1" w:name="OLE_LINK45"/>
            <w:bookmarkStart w:id="2" w:name="OLE_LINK46"/>
            <w:r w:rsidRPr="001B6224">
              <w:rPr>
                <w:rFonts w:eastAsia="宋体"/>
                <w:sz w:val="22"/>
                <w:szCs w:val="22"/>
                <w:lang w:eastAsia="zh-CN"/>
              </w:rPr>
              <w:t>AAGAAGGAGGGGAAGCTGAT</w:t>
            </w:r>
            <w:bookmarkEnd w:id="0"/>
            <w:bookmarkEnd w:id="1"/>
            <w:bookmarkEnd w:id="2"/>
          </w:p>
        </w:tc>
      </w:tr>
      <w:tr w:rsidR="00796BBC" w:rsidRPr="001B6224" w14:paraId="1095CC09" w14:textId="77777777" w:rsidTr="00796BBC">
        <w:trPr>
          <w:trHeight w:val="447"/>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C8B38A" w14:textId="44CD0396" w:rsidR="00796BBC" w:rsidRPr="001B6224" w:rsidRDefault="00C512DB" w:rsidP="00990E33">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A</w:t>
            </w:r>
            <w:r w:rsidR="00FE68C8" w:rsidRPr="00FE68C8">
              <w:rPr>
                <w:rFonts w:eastAsia="宋体" w:hint="eastAsia"/>
                <w:i/>
                <w:color w:val="000000"/>
                <w:sz w:val="22"/>
                <w:szCs w:val="22"/>
                <w:lang w:eastAsia="zh-CN"/>
              </w:rPr>
              <w:t>cly</w:t>
            </w:r>
            <w:r w:rsidR="00796BBC" w:rsidRPr="001B6224">
              <w:rPr>
                <w:rFonts w:eastAsia="宋体"/>
                <w:color w:val="000000"/>
                <w:sz w:val="22"/>
                <w:szCs w:val="22"/>
                <w:lang w:eastAsia="zh-CN"/>
              </w:rPr>
              <w:t>-R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9C8E13" w14:textId="68FB8B31"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color w:val="000000"/>
                <w:sz w:val="22"/>
                <w:szCs w:val="22"/>
                <w:lang w:eastAsia="zh-CN"/>
              </w:rPr>
              <w:fldChar w:fldCharType="begin" w:fldLock="1"/>
            </w:r>
            <w:r w:rsidRPr="001B6224">
              <w:rPr>
                <w:color w:val="000000"/>
                <w:sz w:val="22"/>
                <w:szCs w:val="22"/>
                <w:lang w:eastAsia="zh-CN"/>
              </w:rPr>
              <w:instrText>ADDIN CSL_CITATION {"citationItems":[{"id":"ITEM-1","itemData":{"DOI":"10.1128/jvi.02363-14","ISSN":"0022-538X","PMID":"25339766","abstract":"The development of hepatitis B virus (HBV)-related hepatocellular carcinoma (HCC) has been found to be associated with disturbed lipid metabolism. To elucidate the role of lipid metabolism in HBV tumorigenesis, we investigated the dynamic pattern of lipid metabolism in HBV pre-S2 mutant-induced tumorigenesis. Lipid and gene expression profiles were analyzed in an in vitro culture system and in transgenic mouse livers harboring HBV pre-S2 mutant. The pre-S2 mutant transgenic livers showed a biphasic pattern of lipid accumulation, starting from mild fatty change in early (1 month) transgenic livers, which subsided and then, remarkably, increased in HCC tissues. This biphasic pattern was synchronized with ATP citrate lyase (ACLY) activation. Further analyses revealed that the pre-S2 mutant initiated an endoplasmic reticulum (ER) stress-dependent mammalian target of rapamycin (mTOR) signalling cascade. The pre-S2 mutant-induced mTOR signal activated the sterol regulatory element binding transcription factor 1 (SREBF1) to upregulate ACLY, which then activated the fatty acid desaturase 2 (FADS2), mediated through ACLY-dependent histone acetylation. Such an ER stress-dependent mTOR signal cascade also is important for the proliferation of hepatocytes in vitro and is further validated in HBV-related HCC tissues. IMPORTANCE Aberrations of lipid metabolism frequently occur in chronic HBV infection. Our results provide a potential mechanism of disturbed lipid metabolism in HBV pre-S2 mutant-induced tumorigenesis, which should be valuable for the design of HCC chemoprevention in high-risk HBV carriers.","author":[{"dropping-particle":"","family":"Teng","given":"Chiao-Fang","non-dropping-particle":"","parse-names":false,"suffix":""},{"dropping-particle":"","family":"Wu","given":"Han-Chieh","non-dropping-particle":"","parse-names":false,"suffix":""},{"dropping-particle":"","family":"Hsieh","given":"Wen-Chuan","non-dropping-particle":"","parse-names":false,"suffix":""},{"dropping-particle":"","family":"Tsai","given":"Hung-Wen","non-dropping-particle":"","parse-names":false,"suffix":""},{"dropping-particle":"","family":"Su","given":"Ih-Jen","non-dropping-particle":"","parse-names":false,"suffix":""}],"container-title":"Journal of Virology","id":"ITEM-1","issue":"1","issued":{"date-parts":[["2015"]]},"page":"605-614","title":"Activation of ATP citrate lyase by mTOR signal induces disturbed lipid metabolism in hepatitis B virus pre-S2 mutant tumorigenesis","type":"article-journal","volume":"89"},"uris":["http://www.mendeley.com/documents/?uuid=84973fb3-2fde-4aa7-b0fb-498161902404"]}],"mendeley":{"formattedCitation":"(Teng et al., 2015)","plainTextFormattedCitation":"(Teng et al., 2015)","previouslyFormattedCitation":"(Teng et al., 2015)"},"properties":{"noteIndex":0},"schema":"https://github.com/citation-style-language/schema/raw/master/csl-citation.json"}</w:instrText>
            </w:r>
            <w:r w:rsidRPr="001B6224">
              <w:rPr>
                <w:color w:val="000000"/>
                <w:sz w:val="22"/>
                <w:szCs w:val="22"/>
                <w:lang w:eastAsia="zh-CN"/>
              </w:rPr>
              <w:fldChar w:fldCharType="separate"/>
            </w:r>
            <w:r w:rsidRPr="001B6224">
              <w:rPr>
                <w:noProof/>
                <w:color w:val="000000"/>
                <w:sz w:val="22"/>
                <w:szCs w:val="22"/>
                <w:lang w:eastAsia="zh-CN"/>
              </w:rPr>
              <w:t>(Teng et al., 2015)</w:t>
            </w:r>
            <w:r w:rsidRPr="001B6224">
              <w:rPr>
                <w:color w:val="000000"/>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339AE"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color w:val="000000"/>
                <w:sz w:val="22"/>
                <w:szCs w:val="22"/>
                <w:lang w:eastAsia="zh-CN"/>
              </w:rPr>
              <w:t>RT-PCR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C8ACB1"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TCGCATGTCTGGGTTGTTTA</w:t>
            </w:r>
          </w:p>
        </w:tc>
      </w:tr>
      <w:tr w:rsidR="00796BBC" w:rsidRPr="001B6224" w14:paraId="3D99668E" w14:textId="77777777" w:rsidTr="00796BBC">
        <w:trPr>
          <w:trHeight w:val="448"/>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BE0AA5"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Actin</w:t>
            </w:r>
            <w:r w:rsidRPr="001B6224">
              <w:rPr>
                <w:rFonts w:eastAsia="宋体"/>
                <w:color w:val="000000"/>
                <w:sz w:val="22"/>
                <w:szCs w:val="22"/>
                <w:lang w:eastAsia="zh-CN"/>
              </w:rPr>
              <w:t>-F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B4CB6" w14:textId="560D40CF"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fldChar w:fldCharType="begin" w:fldLock="1"/>
            </w:r>
            <w:r w:rsidRPr="001B6224">
              <w:rPr>
                <w:rFonts w:eastAsia="宋体"/>
                <w:sz w:val="22"/>
                <w:szCs w:val="22"/>
                <w:lang w:eastAsia="zh-CN"/>
              </w:rPr>
              <w:instrText>ADDIN CSL_CITATION {"citationItems":[{"id":"ITEM-1","itemData":{"DOI":"10.1136/gut.2009.202515","ISSN":"00175749","PMID":"20966022","abstract":"Background: The brain - gut axis is a key regulator of normal intestinal physiology; for example, psychological stress is linked to altered gut barrier function, development of food allergies and changes in behaviour. Whether intestinal events, such as enteric bacterial infections and bacterial colonisation, exert a reciprocal effect on stress-associated behaviour is not well established. Objective: To determine the effects of either acute enteric infection or absence of gut microbiota on behaviour, including anxiety and non-spatial memory formation. Methods: Behaviour was assessed following infection with the non-invasive enteric pathogen, Citrobacter rodentium in both C57BL/6 mice and germ-free Swiss-Webster mice, in the presence or absence of acute water avoidance stress. Whether daily treatment with probiotics normalised behaviour was assessed, and potential mechanisms of action evaluated. Results: No behavioural abnormalities were observed, either at the height of infection (10 days) or following bacterial clearance (30 days), in C rodentium-infected C57BL/6 mice. When infected mice were exposed to acute stress, however, memory dysfunction was apparent after infection (10 days and 30 days). Memory dysfunction was prevented by daily treatment of infected mice with probiotics. Memory was impaired in germ-free mice, with or without exposure to stress, in contrast to conventionally reared, control Swiss-Webster mice with an intact intestinal microbiota. Conclusions: The intestinal microbiota influences the ability to form memory. Memory dysfunction occurs in infected mice exposed to acute stress, while in the germ-free setting memory is altered at baseline.","author":[{"dropping-particle":"","family":"Gareau","given":"Mélanie G.","non-dropping-particle":"","parse-names":false,"suffix":""},{"dropping-particle":"","family":"Wine","given":"Eytan","non-dropping-particle":"","parse-names":false,"suffix":""},{"dropping-particle":"","family":"Rodrigues","given":"David M.","non-dropping-particle":"","parse-names":false,"suffix":""},{"dropping-particle":"","family":"Cho","given":"Joon Ho","non-dropping-particle":"","parse-names":false,"suffix":""},{"dropping-particle":"","family":"Whary","given":"Mark T.","non-dropping-particle":"","parse-names":false,"suffix":""},{"dropping-particle":"","family":"Philpott","given":"Dana J.","non-dropping-particle":"","parse-names":false,"suffix":""},{"dropping-particle":"","family":"MacQueen","given":"Glenda","non-dropping-particle":"","parse-names":false,"suffix":""},{"dropping-particle":"","family":"Sherman","given":"Philip M.","non-dropping-particle":"","parse-names":false,"suffix":""}],"container-title":"Gut","id":"ITEM-1","issue":"3","issued":{"date-parts":[["2011"]]},"page":"307-317","title":"Bacterial infection causes stress-induced memory dysfunction in mice","type":"article-journal","volume":"60"},"uris":["http://www.mendeley.com/documents/?uuid=4d40cc8d-a93e-44ce-b7df-777805a68484"]}],"mendeley":{"formattedCitation":"(Gareau et al., 2011)","plainTextFormattedCitation":"(Gareau et al., 2011)","previouslyFormattedCitation":"(Gareau et al., 2011)"},"properties":{"noteIndex":0},"schema":"https://github.com/citation-style-language/schema/raw/master/csl-citation.json"}</w:instrText>
            </w:r>
            <w:r w:rsidRPr="001B6224">
              <w:rPr>
                <w:rFonts w:eastAsia="宋体"/>
                <w:sz w:val="22"/>
                <w:szCs w:val="22"/>
                <w:lang w:eastAsia="zh-CN"/>
              </w:rPr>
              <w:fldChar w:fldCharType="separate"/>
            </w:r>
            <w:r w:rsidRPr="001B6224">
              <w:rPr>
                <w:rFonts w:eastAsia="宋体"/>
                <w:noProof/>
                <w:sz w:val="22"/>
                <w:szCs w:val="22"/>
                <w:lang w:eastAsia="zh-CN"/>
              </w:rPr>
              <w:t>(Gareau et al., 2011)</w:t>
            </w:r>
            <w:r w:rsidRPr="001B6224">
              <w:rPr>
                <w:rFonts w:eastAsia="宋体"/>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AA3C1"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RT-PCR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90173"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GGCTGTATTCCCCTCCATCG</w:t>
            </w:r>
          </w:p>
        </w:tc>
      </w:tr>
      <w:tr w:rsidR="00796BBC" w:rsidRPr="001B6224" w14:paraId="68F8C0E1" w14:textId="77777777" w:rsidTr="00796BBC">
        <w:trPr>
          <w:trHeight w:val="429"/>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879888"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Actin</w:t>
            </w:r>
            <w:r w:rsidRPr="001B6224">
              <w:rPr>
                <w:rFonts w:eastAsia="宋体"/>
                <w:color w:val="000000"/>
                <w:sz w:val="22"/>
                <w:szCs w:val="22"/>
                <w:lang w:eastAsia="zh-CN"/>
              </w:rPr>
              <w:t>-R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3780B" w14:textId="4010C638"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fldChar w:fldCharType="begin" w:fldLock="1"/>
            </w:r>
            <w:r w:rsidRPr="001B6224">
              <w:rPr>
                <w:rFonts w:eastAsia="宋体"/>
                <w:sz w:val="22"/>
                <w:szCs w:val="22"/>
                <w:lang w:eastAsia="zh-CN"/>
              </w:rPr>
              <w:instrText>ADDIN CSL_CITATION {"citationItems":[{"id":"ITEM-1","itemData":{"DOI":"10.1136/gut.2009.202515","ISSN":"00175749","PMID":"20966022","abstract":"Background: The brain - gut axis is a key regulator of normal intestinal physiology; for example, psychological stress is linked to altered gut barrier function, development of food allergies and changes in behaviour. Whether intestinal events, such as enteric bacterial infections and bacterial colonisation, exert a reciprocal effect on stress-associated behaviour is not well established. Objective: To determine the effects of either acute enteric infection or absence of gut microbiota on behaviour, including anxiety and non-spatial memory formation. Methods: Behaviour was assessed following infection with the non-invasive enteric pathogen, Citrobacter rodentium in both C57BL/6 mice and germ-free Swiss-Webster mice, in the presence or absence of acute water avoidance stress. Whether daily treatment with probiotics normalised behaviour was assessed, and potential mechanisms of action evaluated. Results: No behavioural abnormalities were observed, either at the height of infection (10 days) or following bacterial clearance (30 days), in C rodentium-infected C57BL/6 mice. When infected mice were exposed to acute stress, however, memory dysfunction was apparent after infection (10 days and 30 days). Memory dysfunction was prevented by daily treatment of infected mice with probiotics. Memory was impaired in germ-free mice, with or without exposure to stress, in contrast to conventionally reared, control Swiss-Webster mice with an intact intestinal microbiota. Conclusions: The intestinal microbiota influences the ability to form memory. Memory dysfunction occurs in infected mice exposed to acute stress, while in the germ-free setting memory is altered at baseline.","author":[{"dropping-particle":"","family":"Gareau","given":"Mélanie G.","non-dropping-particle":"","parse-names":false,"suffix":""},{"dropping-particle":"","family":"Wine","given":"Eytan","non-dropping-particle":"","parse-names":false,"suffix":""},{"dropping-particle":"","family":"Rodrigues","given":"David M.","non-dropping-particle":"","parse-names":false,"suffix":""},{"dropping-particle":"","family":"Cho","given":"Joon Ho","non-dropping-particle":"","parse-names":false,"suffix":""},{"dropping-particle":"","family":"Whary","given":"Mark T.","non-dropping-particle":"","parse-names":false,"suffix":""},{"dropping-particle":"","family":"Philpott","given":"Dana J.","non-dropping-particle":"","parse-names":false,"suffix":""},{"dropping-particle":"","family":"MacQueen","given":"Glenda","non-dropping-particle":"","parse-names":false,"suffix":""},{"dropping-particle":"","family":"Sherman","given":"Philip M.","non-dropping-particle":"","parse-names":false,"suffix":""}],"container-title":"Gut","id":"ITEM-1","issue":"3","issued":{"date-parts":[["2011"]]},"page":"307-317","title":"Bacterial infection causes stress-induced memory dysfunction in mice","type":"article-journal","volume":"60"},"uris":["http://www.mendeley.com/documents/?uuid=4d40cc8d-a93e-44ce-b7df-777805a68484"]}],"mendeley":{"formattedCitation":"(Gareau et al., 2011)","plainTextFormattedCitation":"(Gareau et al., 2011)","previouslyFormattedCitation":"(Gareau et al., 2011)"},"properties":{"noteIndex":0},"schema":"https://github.com/citation-style-language/schema/raw/master/csl-citation.json"}</w:instrText>
            </w:r>
            <w:r w:rsidRPr="001B6224">
              <w:rPr>
                <w:rFonts w:eastAsia="宋体"/>
                <w:sz w:val="22"/>
                <w:szCs w:val="22"/>
                <w:lang w:eastAsia="zh-CN"/>
              </w:rPr>
              <w:fldChar w:fldCharType="separate"/>
            </w:r>
            <w:r w:rsidRPr="001B6224">
              <w:rPr>
                <w:rFonts w:eastAsia="宋体"/>
                <w:noProof/>
                <w:sz w:val="22"/>
                <w:szCs w:val="22"/>
                <w:lang w:eastAsia="zh-CN"/>
              </w:rPr>
              <w:t>(Gareau et al., 2011)</w:t>
            </w:r>
            <w:r w:rsidRPr="001B6224">
              <w:rPr>
                <w:rFonts w:eastAsia="宋体"/>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510147"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RT-PCR primers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AB0558"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GGCTGTATTCCCCTCCATCG</w:t>
            </w:r>
          </w:p>
        </w:tc>
      </w:tr>
      <w:tr w:rsidR="00796BBC" w:rsidRPr="001B6224" w14:paraId="6567E104" w14:textId="77777777" w:rsidTr="00796BBC">
        <w:trPr>
          <w:trHeight w:val="411"/>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090E3B" w14:textId="5C3D6191" w:rsidR="00796BBC" w:rsidRPr="001B6224" w:rsidRDefault="00C512DB" w:rsidP="00FE68C8">
            <w:pPr>
              <w:pStyle w:val="a9"/>
              <w:spacing w:before="0" w:beforeAutospacing="0" w:after="0" w:afterAutospacing="0"/>
              <w:ind w:left="120" w:right="120"/>
              <w:rPr>
                <w:rFonts w:eastAsia="宋体"/>
                <w:i/>
                <w:color w:val="000000"/>
                <w:sz w:val="22"/>
                <w:szCs w:val="22"/>
                <w:lang w:eastAsia="zh-CN"/>
              </w:rPr>
            </w:pPr>
            <w:r w:rsidRPr="00FE68C8">
              <w:rPr>
                <w:rFonts w:eastAsia="宋体"/>
                <w:i/>
                <w:color w:val="000000"/>
                <w:sz w:val="22"/>
                <w:szCs w:val="22"/>
                <w:lang w:eastAsia="zh-CN"/>
              </w:rPr>
              <w:t>A</w:t>
            </w:r>
            <w:r w:rsidR="00FE68C8" w:rsidRPr="00FE68C8">
              <w:rPr>
                <w:rFonts w:eastAsia="宋体" w:hint="eastAsia"/>
                <w:i/>
                <w:color w:val="000000"/>
                <w:sz w:val="22"/>
                <w:szCs w:val="22"/>
                <w:lang w:eastAsia="zh-CN"/>
              </w:rPr>
              <w:t>cly</w:t>
            </w:r>
            <w:r w:rsidR="00796BBC" w:rsidRPr="001B6224">
              <w:rPr>
                <w:rFonts w:eastAsia="宋体"/>
                <w:i/>
                <w:color w:val="000000"/>
                <w:sz w:val="22"/>
                <w:szCs w:val="22"/>
                <w:lang w:eastAsia="zh-CN"/>
              </w:rPr>
              <w:t xml:space="preserve"> </w:t>
            </w:r>
            <w:r w:rsidR="00796BBC" w:rsidRPr="001B6224">
              <w:rPr>
                <w:rFonts w:eastAsia="宋体"/>
                <w:color w:val="000000"/>
                <w:sz w:val="22"/>
                <w:szCs w:val="22"/>
                <w:lang w:eastAsia="zh-CN"/>
              </w:rPr>
              <w:t>siRNA#1-F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73D37C"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52506"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EA1D03"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GCAAAGAACUCCUGUACAATT</w:t>
            </w:r>
          </w:p>
        </w:tc>
      </w:tr>
      <w:tr w:rsidR="00796BBC" w:rsidRPr="001B6224" w14:paraId="656D6358" w14:textId="77777777" w:rsidTr="00796BBC">
        <w:trPr>
          <w:trHeight w:val="393"/>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937290" w14:textId="0017803C" w:rsidR="00796BBC" w:rsidRPr="001B6224" w:rsidRDefault="00C512DB"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A</w:t>
            </w:r>
            <w:r w:rsidR="00FE68C8" w:rsidRPr="00FE68C8">
              <w:rPr>
                <w:rFonts w:eastAsia="宋体" w:hint="eastAsia"/>
                <w:i/>
                <w:color w:val="000000"/>
                <w:sz w:val="22"/>
                <w:szCs w:val="22"/>
                <w:lang w:eastAsia="zh-CN"/>
              </w:rPr>
              <w:t>cly</w:t>
            </w:r>
            <w:r w:rsidR="00796BBC" w:rsidRPr="001B6224">
              <w:rPr>
                <w:rFonts w:eastAsia="宋体"/>
                <w:color w:val="000000"/>
                <w:sz w:val="22"/>
                <w:szCs w:val="22"/>
                <w:lang w:eastAsia="zh-CN"/>
              </w:rPr>
              <w:t xml:space="preserve"> siRNA#1-R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9EB742"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E93A9E"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7A787F"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UUGUACAGGAGUUCUUUGCTT</w:t>
            </w:r>
          </w:p>
        </w:tc>
      </w:tr>
      <w:tr w:rsidR="00796BBC" w:rsidRPr="001B6224" w14:paraId="6B066303" w14:textId="77777777" w:rsidTr="00796BBC">
        <w:trPr>
          <w:trHeight w:val="374"/>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4BF92F" w14:textId="185CF07B" w:rsidR="00796BBC" w:rsidRPr="001B6224" w:rsidRDefault="00796BBC" w:rsidP="00FE68C8">
            <w:pPr>
              <w:pStyle w:val="a9"/>
              <w:spacing w:before="0" w:beforeAutospacing="0" w:after="0" w:afterAutospacing="0"/>
              <w:ind w:left="120" w:right="120"/>
              <w:rPr>
                <w:rFonts w:eastAsia="宋体"/>
                <w:i/>
                <w:color w:val="000000"/>
                <w:sz w:val="22"/>
                <w:szCs w:val="22"/>
                <w:lang w:eastAsia="zh-CN"/>
              </w:rPr>
            </w:pPr>
            <w:r w:rsidRPr="00FE68C8">
              <w:rPr>
                <w:rFonts w:eastAsia="宋体"/>
                <w:i/>
                <w:color w:val="000000"/>
                <w:sz w:val="22"/>
                <w:szCs w:val="22"/>
                <w:lang w:eastAsia="zh-CN"/>
              </w:rPr>
              <w:t>A</w:t>
            </w:r>
            <w:r w:rsidR="00FE68C8" w:rsidRPr="00FE68C8">
              <w:rPr>
                <w:rFonts w:eastAsia="宋体" w:hint="eastAsia"/>
                <w:i/>
                <w:color w:val="000000"/>
                <w:sz w:val="22"/>
                <w:szCs w:val="22"/>
                <w:lang w:eastAsia="zh-CN"/>
              </w:rPr>
              <w:t>cly</w:t>
            </w:r>
            <w:r w:rsidRPr="001B6224">
              <w:rPr>
                <w:rFonts w:eastAsia="宋体"/>
                <w:i/>
                <w:color w:val="000000"/>
                <w:sz w:val="22"/>
                <w:szCs w:val="22"/>
                <w:lang w:eastAsia="zh-CN"/>
              </w:rPr>
              <w:t xml:space="preserve"> </w:t>
            </w:r>
            <w:r w:rsidRPr="001B6224">
              <w:rPr>
                <w:rFonts w:eastAsia="宋体"/>
                <w:color w:val="000000"/>
                <w:sz w:val="22"/>
                <w:szCs w:val="22"/>
                <w:lang w:eastAsia="zh-CN"/>
              </w:rPr>
              <w:t>siRNA#</w:t>
            </w:r>
            <w:r w:rsidR="00C512DB">
              <w:rPr>
                <w:rFonts w:eastAsia="宋体" w:hint="eastAsia"/>
                <w:color w:val="000000"/>
                <w:sz w:val="22"/>
                <w:szCs w:val="22"/>
                <w:lang w:eastAsia="zh-CN"/>
              </w:rPr>
              <w:t>2</w:t>
            </w:r>
            <w:r w:rsidRPr="001B6224">
              <w:rPr>
                <w:rFonts w:eastAsia="宋体"/>
                <w:color w:val="000000"/>
                <w:sz w:val="22"/>
                <w:szCs w:val="22"/>
                <w:lang w:eastAsia="zh-CN"/>
              </w:rPr>
              <w:t>-F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A35040"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4A685D"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928BB5"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GGAUGACAUUUCCUAUGUUTT</w:t>
            </w:r>
          </w:p>
        </w:tc>
      </w:tr>
      <w:tr w:rsidR="00796BBC" w:rsidRPr="001B6224" w14:paraId="345C72CF" w14:textId="77777777" w:rsidTr="00796BBC">
        <w:trPr>
          <w:trHeight w:val="370"/>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2253B6" w14:textId="7110ECF6" w:rsidR="00796BBC" w:rsidRPr="001B6224" w:rsidRDefault="00796BBC" w:rsidP="00FE68C8">
            <w:pPr>
              <w:pStyle w:val="a9"/>
              <w:spacing w:before="0" w:beforeAutospacing="0" w:after="0" w:afterAutospacing="0"/>
              <w:ind w:left="120" w:right="120"/>
              <w:rPr>
                <w:rFonts w:eastAsia="宋体"/>
                <w:i/>
                <w:color w:val="000000"/>
                <w:sz w:val="22"/>
                <w:szCs w:val="22"/>
                <w:lang w:eastAsia="zh-CN"/>
              </w:rPr>
            </w:pPr>
            <w:r w:rsidRPr="00FE68C8">
              <w:rPr>
                <w:rFonts w:eastAsia="宋体"/>
                <w:i/>
                <w:color w:val="000000"/>
                <w:sz w:val="22"/>
                <w:szCs w:val="22"/>
                <w:lang w:eastAsia="zh-CN"/>
              </w:rPr>
              <w:t>A</w:t>
            </w:r>
            <w:r w:rsidR="00FE68C8" w:rsidRPr="00FE68C8">
              <w:rPr>
                <w:rFonts w:eastAsia="宋体" w:hint="eastAsia"/>
                <w:i/>
                <w:color w:val="000000"/>
                <w:sz w:val="22"/>
                <w:szCs w:val="22"/>
                <w:lang w:eastAsia="zh-CN"/>
              </w:rPr>
              <w:t>cly</w:t>
            </w:r>
            <w:r w:rsidRPr="001B6224">
              <w:rPr>
                <w:rFonts w:eastAsia="宋体"/>
                <w:color w:val="000000"/>
                <w:sz w:val="22"/>
                <w:szCs w:val="22"/>
                <w:lang w:eastAsia="zh-CN"/>
              </w:rPr>
              <w:t xml:space="preserve"> siRNA#</w:t>
            </w:r>
            <w:r w:rsidR="00C512DB">
              <w:rPr>
                <w:rFonts w:eastAsia="宋体" w:hint="eastAsia"/>
                <w:color w:val="000000"/>
                <w:sz w:val="22"/>
                <w:szCs w:val="22"/>
                <w:lang w:eastAsia="zh-CN"/>
              </w:rPr>
              <w:t>2</w:t>
            </w:r>
            <w:r w:rsidRPr="001B6224">
              <w:rPr>
                <w:rFonts w:eastAsia="宋体"/>
                <w:color w:val="000000"/>
                <w:sz w:val="22"/>
                <w:szCs w:val="22"/>
                <w:lang w:eastAsia="zh-CN"/>
              </w:rPr>
              <w:t>-R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F21C3F"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28064"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45E8F"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AACAUAGGAAAUGUCAUCCTT</w:t>
            </w:r>
          </w:p>
        </w:tc>
      </w:tr>
      <w:tr w:rsidR="00796BBC" w:rsidRPr="001B6224" w14:paraId="1A6E2B53" w14:textId="77777777" w:rsidTr="00796BBC">
        <w:trPr>
          <w:trHeight w:val="353"/>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989926" w14:textId="5DA5B0D6"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ul</w:t>
            </w:r>
            <w:r w:rsidRPr="00FE68C8">
              <w:rPr>
                <w:rFonts w:eastAsia="宋体"/>
                <w:i/>
                <w:color w:val="000000"/>
                <w:sz w:val="22"/>
                <w:szCs w:val="22"/>
                <w:lang w:eastAsia="zh-CN"/>
              </w:rPr>
              <w:t>3</w:t>
            </w:r>
            <w:r w:rsidRPr="001B6224">
              <w:rPr>
                <w:rFonts w:eastAsia="宋体"/>
                <w:color w:val="000000"/>
                <w:sz w:val="22"/>
                <w:szCs w:val="22"/>
                <w:lang w:eastAsia="zh-CN"/>
              </w:rPr>
              <w:t xml:space="preserve"> siRNA-F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382E21" w14:textId="7DEAA544"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color w:val="000000"/>
                <w:sz w:val="22"/>
                <w:szCs w:val="22"/>
                <w:lang w:eastAsia="zh-CN"/>
              </w:rPr>
              <w:fldChar w:fldCharType="begin" w:fldLock="1"/>
            </w:r>
            <w:r w:rsidRPr="001B6224">
              <w:rPr>
                <w:color w:val="000000"/>
                <w:sz w:val="22"/>
                <w:szCs w:val="22"/>
                <w:lang w:eastAsia="zh-CN"/>
              </w:rPr>
              <w:instrText>ADDIN CSL_CITATION {"citationItems":[{"id":"ITEM-1","itemData":{"DOI":"10.1530/REP-15-0126","ISSN":"17417899","PMID":"26021998","abstract":"Cullin 3 (CUL3), a scaffold protein, assembles a large number of ubiquitin ligase complexes, similar to Skp1-Cullin 1-F-box protein complex. Several genetic models have shown that CUL3 is crucial for early embryonic development. Nevertheless, the role of CUL3 in human trophoblast function remains unclear. In this study, immunostaining revealed that CUL3 was strongly expressed in the villous cytotrophoblasts, the trophoblast column, and the invasive extravillous trophoblasts. Silencing CUL3 significantly inhibited the outgrowth of villous explant ex vivo and decreased invasion and migration of trophoblast HTR8/SVneo cells. Furthermore, CUL3 siRNA decreased pro-MMP9 activity and increased the levels of TIMP1 and 2. We also found that the level of CUL3 in the placental villi from pre-eclamptic patients was significantly lower as compared to that from their gestational age-matched controls. Moreover, in the lentiviral-mediated placenta-specific CUL3 knockdown mice, lack of CUL3 resulted in less invasive trophoblast cells in the maternal decidua. Taken together, these results suggest an essential role for CUL3 in the invasion and migration of trophoblast cells, and dysregulation of its expression may be associated with the onset of pre-eclampsia.","author":[{"dropping-particle":"","family":"Zhang","given":"Qian","non-dropping-particle":"","parse-names":false,"suffix":""},{"dropping-particle":"","family":"Yu","given":"Song","non-dropping-particle":"","parse-names":false,"suffix":""},{"dropping-particle":"","family":"Huang","given":"Xing","non-dropping-particle":"","parse-names":false,"suffix":""},{"dropping-particle":"","family":"Tan","given":"Yi","non-dropping-particle":"","parse-names":false,"suffix":""},{"dropping-particle":"","family":"Zhu","given":"Cheng","non-dropping-particle":"","parse-names":false,"suffix":""},{"dropping-particle":"","family":"Wang","given":"Yan Ling","non-dropping-particle":"","parse-names":false,"suffix":""},{"dropping-particle":"","family":"Wang","given":"Haibin","non-dropping-particle":"","parse-names":false,"suffix":""},{"dropping-particle":"","family":"Lin","given":"Hai Yan","non-dropping-particle":"","parse-names":false,"suffix":""},{"dropping-particle":"","family":"Fu","given":"Jiejun","non-dropping-particle":"","parse-names":false,"suffix":""},{"dropping-particle":"","family":"Wang","given":"Hongmei","non-dropping-particle":"","parse-names":false,"suffix":""}],"container-title":"Reproduction","id":"ITEM-1","issue":"2","issued":{"date-parts":[["2015"]]},"page":"139-149","title":"New insights into the function of Cullin 3 in trophoblast invasion and migration","type":"article-journal","volume":"150"},"uris":["http://www.mendeley.com/documents/?uuid=4f37b662-9638-4220-8aec-a9c99d5e3f4a"]}],"mendeley":{"formattedCitation":"(Zhang et al., 2015)","plainTextFormattedCitation":"(Zhang et al., 2015)","previouslyFormattedCitation":"(Zhang et al., 2015)"},"properties":{"noteIndex":0},"schema":"https://github.com/citation-style-language/schema/raw/master/csl-citation.json"}</w:instrText>
            </w:r>
            <w:r w:rsidRPr="001B6224">
              <w:rPr>
                <w:color w:val="000000"/>
                <w:sz w:val="22"/>
                <w:szCs w:val="22"/>
                <w:lang w:eastAsia="zh-CN"/>
              </w:rPr>
              <w:fldChar w:fldCharType="separate"/>
            </w:r>
            <w:r w:rsidRPr="001B6224">
              <w:rPr>
                <w:noProof/>
                <w:color w:val="000000"/>
                <w:sz w:val="22"/>
                <w:szCs w:val="22"/>
                <w:lang w:eastAsia="zh-CN"/>
              </w:rPr>
              <w:t>(Zhang et al., 2015)</w:t>
            </w:r>
            <w:r w:rsidRPr="001B6224">
              <w:rPr>
                <w:color w:val="000000"/>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E9455"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9D73BF"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AUAAUUUGUACAUGCAAGCAAGGUC</w:t>
            </w:r>
          </w:p>
        </w:tc>
      </w:tr>
      <w:tr w:rsidR="00796BBC" w:rsidRPr="001B6224" w14:paraId="474B02E4" w14:textId="77777777" w:rsidTr="00796BBC">
        <w:trPr>
          <w:trHeight w:val="335"/>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5864EB" w14:textId="50D5F12E"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ul</w:t>
            </w:r>
            <w:r w:rsidRPr="00FE68C8">
              <w:rPr>
                <w:rFonts w:eastAsia="宋体"/>
                <w:i/>
                <w:color w:val="000000"/>
                <w:sz w:val="22"/>
                <w:szCs w:val="22"/>
                <w:lang w:eastAsia="zh-CN"/>
              </w:rPr>
              <w:t>3</w:t>
            </w:r>
            <w:r w:rsidRPr="001B6224">
              <w:rPr>
                <w:rFonts w:eastAsia="宋体"/>
                <w:color w:val="000000"/>
                <w:sz w:val="22"/>
                <w:szCs w:val="22"/>
                <w:lang w:eastAsia="zh-CN"/>
              </w:rPr>
              <w:t xml:space="preserve"> siRNA-R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24642A" w14:textId="7148EA22"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color w:val="000000"/>
                <w:sz w:val="22"/>
                <w:szCs w:val="22"/>
                <w:lang w:eastAsia="zh-CN"/>
              </w:rPr>
              <w:fldChar w:fldCharType="begin" w:fldLock="1"/>
            </w:r>
            <w:r w:rsidRPr="001B6224">
              <w:rPr>
                <w:color w:val="000000"/>
                <w:sz w:val="22"/>
                <w:szCs w:val="22"/>
                <w:lang w:eastAsia="zh-CN"/>
              </w:rPr>
              <w:instrText>ADDIN CSL_CITATION {"citationItems":[{"id":"ITEM-1","itemData":{"DOI":"10.1530/REP-15-0126","ISSN":"17417899","PMID":"26021998","abstract":"Cullin 3 (CUL3), a scaffold protein, assembles a large number of ubiquitin ligase complexes, similar to Skp1-Cullin 1-F-box protein complex. Several genetic models have shown that CUL3 is crucial for early embryonic development. Nevertheless, the role of CUL3 in human trophoblast function remains unclear. In this study, immunostaining revealed that CUL3 was strongly expressed in the villous cytotrophoblasts, the trophoblast column, and the invasive extravillous trophoblasts. Silencing CUL3 significantly inhibited the outgrowth of villous explant ex vivo and decreased invasion and migration of trophoblast HTR8/SVneo cells. Furthermore, CUL3 siRNA decreased pro-MMP9 activity and increased the levels of TIMP1 and 2. We also found that the level of CUL3 in the placental villi from pre-eclamptic patients was significantly lower as compared to that from their gestational age-matched controls. Moreover, in the lentiviral-mediated placenta-specific CUL3 knockdown mice, lack of CUL3 resulted in less invasive trophoblast cells in the maternal decidua. Taken together, these results suggest an essential role for CUL3 in the invasion and migration of trophoblast cells, and dysregulation of its expression may be associated with the onset of pre-eclampsia.","author":[{"dropping-particle":"","family":"Zhang","given":"Qian","non-dropping-particle":"","parse-names":false,"suffix":""},{"dropping-particle":"","family":"Yu","given":"Song","non-dropping-particle":"","parse-names":false,"suffix":""},{"dropping-particle":"","family":"Huang","given":"Xing","non-dropping-particle":"","parse-names":false,"suffix":""},{"dropping-particle":"","family":"Tan","given":"Yi","non-dropping-particle":"","parse-names":false,"suffix":""},{"dropping-particle":"","family":"Zhu","given":"Cheng","non-dropping-particle":"","parse-names":false,"suffix":""},{"dropping-particle":"","family":"Wang","given":"Yan Ling","non-dropping-particle":"","parse-names":false,"suffix":""},{"dropping-particle":"","family":"Wang","given":"Haibin","non-dropping-particle":"","parse-names":false,"suffix":""},{"dropping-particle":"","family":"Lin","given":"Hai Yan","non-dropping-particle":"","parse-names":false,"suffix":""},{"dropping-particle":"","family":"Fu","given":"Jiejun","non-dropping-particle":"","parse-names":false,"suffix":""},{"dropping-particle":"","family":"Wang","given":"Hongmei","non-dropping-particle":"","parse-names":false,"suffix":""}],"container-title":"Reproduction","id":"ITEM-1","issue":"2","issued":{"date-parts":[["2015"]]},"page":"139-149","title":"New insights into the function of Cullin 3 in trophoblast invasion and migration","type":"article-journal","volume":"150"},"uris":["http://www.mendeley.com/documents/?uuid=4f37b662-9638-4220-8aec-a9c99d5e3f4a"]}],"mendeley":{"formattedCitation":"(Zhang et al., 2015)","plainTextFormattedCitation":"(Zhang et al., 2015)","previouslyFormattedCitation":"(Zhang et al., 2015)"},"properties":{"noteIndex":0},"schema":"https://github.com/citation-style-language/schema/raw/master/csl-citation.json"}</w:instrText>
            </w:r>
            <w:r w:rsidRPr="001B6224">
              <w:rPr>
                <w:color w:val="000000"/>
                <w:sz w:val="22"/>
                <w:szCs w:val="22"/>
                <w:lang w:eastAsia="zh-CN"/>
              </w:rPr>
              <w:fldChar w:fldCharType="separate"/>
            </w:r>
            <w:r w:rsidRPr="001B6224">
              <w:rPr>
                <w:noProof/>
                <w:color w:val="000000"/>
                <w:sz w:val="22"/>
                <w:szCs w:val="22"/>
                <w:lang w:eastAsia="zh-CN"/>
              </w:rPr>
              <w:t>(Zhang et al., 2015)</w:t>
            </w:r>
            <w:r w:rsidRPr="001B6224">
              <w:rPr>
                <w:color w:val="000000"/>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235C19"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9117CE"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GACCUUGCUUGCAUGUACAAAUUAU</w:t>
            </w:r>
          </w:p>
        </w:tc>
      </w:tr>
      <w:tr w:rsidR="00796BBC" w:rsidRPr="001B6224" w14:paraId="04DD618C" w14:textId="77777777" w:rsidTr="00796BBC">
        <w:trPr>
          <w:trHeight w:val="316"/>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C41132" w14:textId="08569BB8"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K</w:t>
            </w:r>
            <w:r w:rsidR="00FE68C8" w:rsidRPr="00FE68C8">
              <w:rPr>
                <w:rFonts w:eastAsia="宋体" w:hint="eastAsia"/>
                <w:i/>
                <w:color w:val="000000"/>
                <w:sz w:val="22"/>
                <w:szCs w:val="22"/>
                <w:lang w:eastAsia="zh-CN"/>
              </w:rPr>
              <w:t>lhl</w:t>
            </w:r>
            <w:r w:rsidRPr="00FE68C8">
              <w:rPr>
                <w:rFonts w:eastAsia="宋体"/>
                <w:i/>
                <w:color w:val="000000"/>
                <w:sz w:val="22"/>
                <w:szCs w:val="22"/>
                <w:lang w:eastAsia="zh-CN"/>
              </w:rPr>
              <w:t>25</w:t>
            </w:r>
            <w:r w:rsidRPr="001B6224">
              <w:rPr>
                <w:rFonts w:eastAsia="宋体"/>
                <w:color w:val="000000"/>
                <w:sz w:val="22"/>
                <w:szCs w:val="22"/>
                <w:lang w:eastAsia="zh-CN"/>
              </w:rPr>
              <w:t xml:space="preserve"> siRNA#1-F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D4988F"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ED8748"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6BAD1F"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GCCGAUACUUUGAGGCCAUTT</w:t>
            </w:r>
          </w:p>
        </w:tc>
      </w:tr>
      <w:tr w:rsidR="00796BBC" w:rsidRPr="001B6224" w14:paraId="5724993A" w14:textId="77777777" w:rsidTr="00796BBC">
        <w:trPr>
          <w:trHeight w:val="298"/>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BAE963" w14:textId="29B96EDE"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K</w:t>
            </w:r>
            <w:r w:rsidR="00FE68C8" w:rsidRPr="00FE68C8">
              <w:rPr>
                <w:rFonts w:eastAsia="宋体" w:hint="eastAsia"/>
                <w:i/>
                <w:color w:val="000000"/>
                <w:sz w:val="22"/>
                <w:szCs w:val="22"/>
                <w:lang w:eastAsia="zh-CN"/>
              </w:rPr>
              <w:t>lhl</w:t>
            </w:r>
            <w:r w:rsidRPr="00FE68C8">
              <w:rPr>
                <w:rFonts w:eastAsia="宋体"/>
                <w:i/>
                <w:color w:val="000000"/>
                <w:sz w:val="22"/>
                <w:szCs w:val="22"/>
                <w:lang w:eastAsia="zh-CN"/>
              </w:rPr>
              <w:t>25</w:t>
            </w:r>
            <w:r w:rsidRPr="001B6224">
              <w:rPr>
                <w:rFonts w:eastAsia="宋体"/>
                <w:color w:val="000000"/>
                <w:sz w:val="22"/>
                <w:szCs w:val="22"/>
                <w:lang w:eastAsia="zh-CN"/>
              </w:rPr>
              <w:t xml:space="preserve"> siRNA#1-R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98278C"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32029E"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9B62A9"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AUGGCCUCAAAGUAUCGGCTT</w:t>
            </w:r>
          </w:p>
        </w:tc>
      </w:tr>
      <w:tr w:rsidR="00796BBC" w:rsidRPr="001B6224" w14:paraId="2EB25E45" w14:textId="77777777" w:rsidTr="00796BBC">
        <w:trPr>
          <w:trHeight w:val="423"/>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AE4E1E" w14:textId="1F4FB00D"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lastRenderedPageBreak/>
              <w:t>K</w:t>
            </w:r>
            <w:r w:rsidR="00FE68C8" w:rsidRPr="00FE68C8">
              <w:rPr>
                <w:rFonts w:eastAsia="宋体" w:hint="eastAsia"/>
                <w:i/>
                <w:color w:val="000000"/>
                <w:sz w:val="22"/>
                <w:szCs w:val="22"/>
                <w:lang w:eastAsia="zh-CN"/>
              </w:rPr>
              <w:t>lhl</w:t>
            </w:r>
            <w:r w:rsidRPr="00FE68C8">
              <w:rPr>
                <w:rFonts w:eastAsia="宋体"/>
                <w:i/>
                <w:color w:val="000000"/>
                <w:sz w:val="22"/>
                <w:szCs w:val="22"/>
                <w:lang w:eastAsia="zh-CN"/>
              </w:rPr>
              <w:t>25</w:t>
            </w:r>
            <w:r w:rsidRPr="001B6224">
              <w:rPr>
                <w:rFonts w:eastAsia="宋体"/>
                <w:color w:val="000000"/>
                <w:sz w:val="22"/>
                <w:szCs w:val="22"/>
                <w:lang w:eastAsia="zh-CN"/>
              </w:rPr>
              <w:t xml:space="preserve"> siRNA#2-F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7A346"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3F8E1E"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3BFF00"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CCGAGAUAUGGUGUCCAAATT</w:t>
            </w:r>
          </w:p>
        </w:tc>
      </w:tr>
      <w:tr w:rsidR="00796BBC" w:rsidRPr="001B6224" w14:paraId="4750AA39" w14:textId="77777777" w:rsidTr="00796BBC">
        <w:trPr>
          <w:trHeight w:val="405"/>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53894A" w14:textId="288C3EA7"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K</w:t>
            </w:r>
            <w:r w:rsidR="00FE68C8" w:rsidRPr="00FE68C8">
              <w:rPr>
                <w:rFonts w:eastAsia="宋体" w:hint="eastAsia"/>
                <w:i/>
                <w:color w:val="000000"/>
                <w:sz w:val="22"/>
                <w:szCs w:val="22"/>
                <w:lang w:eastAsia="zh-CN"/>
              </w:rPr>
              <w:t>lhl</w:t>
            </w:r>
            <w:r w:rsidRPr="00FE68C8">
              <w:rPr>
                <w:rFonts w:eastAsia="宋体"/>
                <w:i/>
                <w:color w:val="000000"/>
                <w:sz w:val="22"/>
                <w:szCs w:val="22"/>
                <w:lang w:eastAsia="zh-CN"/>
              </w:rPr>
              <w:t xml:space="preserve">25 </w:t>
            </w:r>
            <w:r w:rsidRPr="001B6224">
              <w:rPr>
                <w:rFonts w:eastAsia="宋体"/>
                <w:color w:val="000000"/>
                <w:sz w:val="22"/>
                <w:szCs w:val="22"/>
                <w:lang w:eastAsia="zh-CN"/>
              </w:rPr>
              <w:t>siRNA#2-R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C6D112"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4F7CAD"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6ECA38"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UUUGGACACCAUAUCUCGGTT</w:t>
            </w:r>
          </w:p>
        </w:tc>
      </w:tr>
      <w:tr w:rsidR="00796BBC" w:rsidRPr="001B6224" w14:paraId="4325FDEC" w14:textId="77777777" w:rsidTr="00796BBC">
        <w:trPr>
          <w:trHeight w:val="372"/>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517221" w14:textId="1757E7AE"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K</w:t>
            </w:r>
            <w:r w:rsidR="00FE68C8" w:rsidRPr="00FE68C8">
              <w:rPr>
                <w:rFonts w:eastAsia="宋体" w:hint="eastAsia"/>
                <w:i/>
                <w:color w:val="000000"/>
                <w:sz w:val="22"/>
                <w:szCs w:val="22"/>
                <w:lang w:eastAsia="zh-CN"/>
              </w:rPr>
              <w:t>lhl</w:t>
            </w:r>
            <w:r w:rsidRPr="00FE68C8">
              <w:rPr>
                <w:rFonts w:eastAsia="宋体"/>
                <w:i/>
                <w:color w:val="000000"/>
                <w:sz w:val="22"/>
                <w:szCs w:val="22"/>
                <w:lang w:eastAsia="zh-CN"/>
              </w:rPr>
              <w:t>25</w:t>
            </w:r>
            <w:r w:rsidRPr="001B6224">
              <w:rPr>
                <w:rFonts w:eastAsia="宋体"/>
                <w:color w:val="000000"/>
                <w:sz w:val="22"/>
                <w:szCs w:val="22"/>
                <w:lang w:eastAsia="zh-CN"/>
              </w:rPr>
              <w:t xml:space="preserve"> siRNA#3-F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940FC4"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2D9963"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623F5F"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GCAGCCAGAUCUUCAUCAUTT</w:t>
            </w:r>
          </w:p>
        </w:tc>
      </w:tr>
      <w:tr w:rsidR="00796BBC" w:rsidRPr="001B6224" w14:paraId="2CD54B75" w14:textId="77777777" w:rsidTr="00796BBC">
        <w:trPr>
          <w:trHeight w:val="355"/>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A01DF" w14:textId="467DD7C3"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K</w:t>
            </w:r>
            <w:r w:rsidR="00FE68C8" w:rsidRPr="00FE68C8">
              <w:rPr>
                <w:rFonts w:eastAsia="宋体" w:hint="eastAsia"/>
                <w:i/>
                <w:color w:val="000000"/>
                <w:sz w:val="22"/>
                <w:szCs w:val="22"/>
                <w:lang w:eastAsia="zh-CN"/>
              </w:rPr>
              <w:t>lhl</w:t>
            </w:r>
            <w:r w:rsidRPr="00FE68C8">
              <w:rPr>
                <w:rFonts w:eastAsia="宋体"/>
                <w:i/>
                <w:color w:val="000000"/>
                <w:sz w:val="22"/>
                <w:szCs w:val="22"/>
                <w:lang w:eastAsia="zh-CN"/>
              </w:rPr>
              <w:t>25</w:t>
            </w:r>
            <w:r w:rsidRPr="001B6224">
              <w:rPr>
                <w:rFonts w:eastAsia="宋体"/>
                <w:color w:val="000000"/>
                <w:sz w:val="22"/>
                <w:szCs w:val="22"/>
                <w:lang w:eastAsia="zh-CN"/>
              </w:rPr>
              <w:t xml:space="preserve"> siRNA#3-R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1686BA"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B68B0"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2BD69F"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AUGAUGAAGAUCUGGCUGCTT</w:t>
            </w:r>
          </w:p>
        </w:tc>
      </w:tr>
      <w:tr w:rsidR="00796BBC" w:rsidRPr="001B6224" w14:paraId="25A60732" w14:textId="77777777" w:rsidTr="00796BBC">
        <w:trPr>
          <w:trHeight w:val="337"/>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C843E4" w14:textId="6D0D1605"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pt</w:t>
            </w:r>
            <w:r w:rsidRPr="00FE68C8">
              <w:rPr>
                <w:rFonts w:eastAsia="宋体"/>
                <w:i/>
                <w:color w:val="000000"/>
                <w:sz w:val="22"/>
                <w:szCs w:val="22"/>
                <w:lang w:eastAsia="zh-CN"/>
              </w:rPr>
              <w:t>1</w:t>
            </w:r>
            <w:r w:rsidRPr="001B6224">
              <w:rPr>
                <w:rFonts w:eastAsia="宋体"/>
                <w:color w:val="000000"/>
                <w:sz w:val="22"/>
                <w:szCs w:val="22"/>
                <w:lang w:eastAsia="zh-CN"/>
              </w:rPr>
              <w:t xml:space="preserve"> siRNA-F</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E14770" w14:textId="6FBBFDA0"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fldChar w:fldCharType="begin" w:fldLock="1"/>
            </w:r>
            <w:r w:rsidRPr="001B6224">
              <w:rPr>
                <w:rFonts w:eastAsia="宋体"/>
                <w:sz w:val="22"/>
                <w:szCs w:val="22"/>
                <w:lang w:eastAsia="zh-CN"/>
              </w:rPr>
              <w:instrText>ADDIN CSL_CITATION {"citationItems":[{"id":"ITEM-1","itemData":{"DOI":"10.1073/pnas.2014681118","ISSN":"0027-8424","abstract":"Inducible regulatory T (iTreg) cells play a crucial role in immune suppression and are important for the maintenance of immune homeostasis. Mounting evidence has demonstrated connections between iTreg differentiation and metabolic reprogramming, especially rewiring in fatty acid oxidation (FAO). Previous work showed that butyrate, a specific type of short-chain fatty acid (SCFA) readily produced from fiber-rich diets through microbial fermentation, was critical for the maintenance of intestinal homeostasis and capable of promoting iTreg generation by up-regulating histone acetylation for gene expression as an HDAC inhibitor. Here, we revealed that butyrate could also accelerate FAO to facilitate iTreg differentiation. Moreover, butyrate was converted, by acyl-CoA synthetase short-chain family member 2 (ACSS2), into butyryl-CoA (BCoA), which up-regulated CPT1A activity through antagonizing the association of malonyl-CoA (MCoA), the best known metabolic intermediate inhibiting CPT1A, to promote FAO and thereby iTreg differentiation. Mutation of CPT1A at Arg243, a reported amino acid required for MCoA association, impaired both MCoA and BCoA binding, indicating that Arg243 is probably the responsible site for MCoA and BCoA association. Furthermore, blocking BCoA formation by ACSS2 inhibitor compromised butyrate-mediated iTreg generation and mitigation of mouse colitis. Together, we unveil a previously unappreciated role for butyrate in iTreg differentiation and illustrate butyrate–BCoA–CPT1A axis for the regulation of immune homeostasis.","author":[{"dropping-particle":"","family":"Hao","given":"Fengqi","non-dropping-particle":"","parse-names":false,"suffix":""},{"dropping-particle":"","family":"Tian","given":"Miaomiao","non-dropping-particle":"","parse-names":false,"suffix":""},{"dropping-particle":"","family":"Zhang","given":"Xinbo","non-dropping-particle":"","parse-names":false,"suffix":""},{"dropping-particle":"","family":"Jin","given":"Xin","non-dropping-particle":"","parse-names":false,"suffix":""},{"dropping-particle":"","family":"Jiang","given":"Ying","non-dropping-particle":"","parse-names":false,"suffix":""},{"dropping-particle":"","family":"Sun","given":"Xue","non-dropping-particle":"","parse-names":false,"suffix":""},{"dropping-particle":"","family":"Wang","given":"Yang","non-dropping-particle":"","parse-names":false,"suffix":""},{"dropping-particle":"","family":"Peng","given":"Pinghui","non-dropping-particle":"","parse-names":false,"suffix":""},{"dropping-particle":"","family":"Liu","given":"Jia","non-dropping-particle":"","parse-names":false,"suffix":""},{"dropping-particle":"","family":"Xia","given":"Chaoyi","non-dropping-particle":"","parse-names":false,"suffix":""},{"dropping-particle":"","family":"Feng","given":"Yunpeng","non-dropping-particle":"","parse-names":false,"suffix":""},{"dropping-particle":"","family":"Wei","given":"Min","non-dropping-particle":"","parse-names":false,"suffix":""}],"container-title":"Proceedings of the National Academy of Sciences","id":"ITEM-1","issue":"22","issued":{"date-parts":[["2021"]]},"page":"e2014681118","title":"Butyrate enhances CPT1A activity to promote fatty acid oxidation and iTreg differentiation","type":"article-journal","volume":"118"},"uris":["http://www.mendeley.com/documents/?uuid=4e79fada-9782-4232-97c6-357668f675d0"]}],"mendeley":{"formattedCitation":"(Hao et al., 2021)","plainTextFormattedCitation":"(Hao et al., 2021)","previouslyFormattedCitation":"(Hao et al., 2021)"},"properties":{"noteIndex":0},"schema":"https://github.com/citation-style-language/schema/raw/master/csl-citation.json"}</w:instrText>
            </w:r>
            <w:r w:rsidRPr="001B6224">
              <w:rPr>
                <w:rFonts w:eastAsia="宋体"/>
                <w:sz w:val="22"/>
                <w:szCs w:val="22"/>
                <w:lang w:eastAsia="zh-CN"/>
              </w:rPr>
              <w:fldChar w:fldCharType="separate"/>
            </w:r>
            <w:r w:rsidRPr="001B6224">
              <w:rPr>
                <w:rFonts w:eastAsia="宋体"/>
                <w:noProof/>
                <w:sz w:val="22"/>
                <w:szCs w:val="22"/>
                <w:lang w:eastAsia="zh-CN"/>
              </w:rPr>
              <w:t>(Hao et al., 2021)</w:t>
            </w:r>
            <w:r w:rsidRPr="001B6224">
              <w:rPr>
                <w:rFonts w:eastAsia="宋体"/>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7E63B6" w14:textId="573D65F1"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C416A8" w14:textId="42BB94FC"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CAUCCAUGCAUACCAAAGUTT</w:t>
            </w:r>
          </w:p>
        </w:tc>
      </w:tr>
      <w:tr w:rsidR="00796BBC" w:rsidRPr="001B6224" w14:paraId="5E6ABD6A" w14:textId="77777777" w:rsidTr="00796BBC">
        <w:trPr>
          <w:trHeight w:val="332"/>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755550" w14:textId="27AD5E67" w:rsidR="00796BBC" w:rsidRPr="001B6224" w:rsidRDefault="00796BBC" w:rsidP="00FE68C8">
            <w:pPr>
              <w:pStyle w:val="a9"/>
              <w:spacing w:before="0" w:beforeAutospacing="0" w:after="0" w:afterAutospacing="0"/>
              <w:ind w:left="120" w:right="120"/>
              <w:rPr>
                <w:rFonts w:eastAsia="宋体"/>
                <w:color w:val="000000"/>
                <w:sz w:val="22"/>
                <w:szCs w:val="22"/>
                <w:lang w:eastAsia="zh-CN"/>
              </w:rPr>
            </w:pPr>
            <w:r w:rsidRPr="00FE68C8">
              <w:rPr>
                <w:rFonts w:eastAsia="宋体"/>
                <w:i/>
                <w:color w:val="000000"/>
                <w:sz w:val="22"/>
                <w:szCs w:val="22"/>
                <w:lang w:eastAsia="zh-CN"/>
              </w:rPr>
              <w:t>C</w:t>
            </w:r>
            <w:r w:rsidR="00FE68C8" w:rsidRPr="00FE68C8">
              <w:rPr>
                <w:rFonts w:eastAsia="宋体" w:hint="eastAsia"/>
                <w:i/>
                <w:color w:val="000000"/>
                <w:sz w:val="22"/>
                <w:szCs w:val="22"/>
                <w:lang w:eastAsia="zh-CN"/>
              </w:rPr>
              <w:t>pt</w:t>
            </w:r>
            <w:r w:rsidRPr="00FE68C8">
              <w:rPr>
                <w:rFonts w:eastAsia="宋体"/>
                <w:i/>
                <w:color w:val="000000"/>
                <w:sz w:val="22"/>
                <w:szCs w:val="22"/>
                <w:lang w:eastAsia="zh-CN"/>
              </w:rPr>
              <w:t>1</w:t>
            </w:r>
            <w:r w:rsidRPr="001B6224">
              <w:rPr>
                <w:rFonts w:eastAsia="宋体"/>
                <w:color w:val="000000"/>
                <w:sz w:val="22"/>
                <w:szCs w:val="22"/>
                <w:lang w:eastAsia="zh-CN"/>
              </w:rPr>
              <w:t xml:space="preserve"> siRNA-R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56D067" w14:textId="38B17B09"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fldChar w:fldCharType="begin" w:fldLock="1"/>
            </w:r>
            <w:r w:rsidRPr="001B6224">
              <w:rPr>
                <w:rFonts w:eastAsia="宋体"/>
                <w:sz w:val="22"/>
                <w:szCs w:val="22"/>
                <w:lang w:eastAsia="zh-CN"/>
              </w:rPr>
              <w:instrText>ADDIN CSL_CITATION {"citationItems":[{"id":"ITEM-1","itemData":{"DOI":"10.1073/pnas.2014681118","ISSN":"0027-8424","abstract":"Inducible regulatory T (iTreg) cells play a crucial role in immune suppression and are important for the maintenance of immune homeostasis. Mounting evidence has demonstrated connections between iTreg differentiation and metabolic reprogramming, especially rewiring in fatty acid oxidation (FAO). Previous work showed that butyrate, a specific type of short-chain fatty acid (SCFA) readily produced from fiber-rich diets through microbial fermentation, was critical for the maintenance of intestinal homeostasis and capable of promoting iTreg generation by up-regulating histone acetylation for gene expression as an HDAC inhibitor. Here, we revealed that butyrate could also accelerate FAO to facilitate iTreg differentiation. Moreover, butyrate was converted, by acyl-CoA synthetase short-chain family member 2 (ACSS2), into butyryl-CoA (BCoA), which up-regulated CPT1A activity through antagonizing the association of malonyl-CoA (MCoA), the best known metabolic intermediate inhibiting CPT1A, to promote FAO and thereby iTreg differentiation. Mutation of CPT1A at Arg243, a reported amino acid required for MCoA association, impaired both MCoA and BCoA binding, indicating that Arg243 is probably the responsible site for MCoA and BCoA association. Furthermore, blocking BCoA formation by ACSS2 inhibitor compromised butyrate-mediated iTreg generation and mitigation of mouse colitis. Together, we unveil a previously unappreciated role for butyrate in iTreg differentiation and illustrate butyrate–BCoA–CPT1A axis for the regulation of immune homeostasis.","author":[{"dropping-particle":"","family":"Hao","given":"Fengqi","non-dropping-particle":"","parse-names":false,"suffix":""},{"dropping-particle":"","family":"Tian","given":"Miaomiao","non-dropping-particle":"","parse-names":false,"suffix":""},{"dropping-particle":"","family":"Zhang","given":"Xinbo","non-dropping-particle":"","parse-names":false,"suffix":""},{"dropping-particle":"","family":"Jin","given":"Xin","non-dropping-particle":"","parse-names":false,"suffix":""},{"dropping-particle":"","family":"Jiang","given":"Ying","non-dropping-particle":"","parse-names":false,"suffix":""},{"dropping-particle":"","family":"Sun","given":"Xue","non-dropping-particle":"","parse-names":false,"suffix":""},{"dropping-particle":"","family":"Wang","given":"Yang","non-dropping-particle":"","parse-names":false,"suffix":""},{"dropping-particle":"","family":"Peng","given":"Pinghui","non-dropping-particle":"","parse-names":false,"suffix":""},{"dropping-particle":"","family":"Liu","given":"Jia","non-dropping-particle":"","parse-names":false,"suffix":""},{"dropping-particle":"","family":"Xia","given":"Chaoyi","non-dropping-particle":"","parse-names":false,"suffix":""},{"dropping-particle":"","family":"Feng","given":"Yunpeng","non-dropping-particle":"","parse-names":false,"suffix":""},{"dropping-particle":"","family":"Wei","given":"Min","non-dropping-particle":"","parse-names":false,"suffix":""}],"container-title":"Proceedings of the National Academy of Sciences","id":"ITEM-1","issue":"22","issued":{"date-parts":[["2021"]]},"page":"e2014681118","title":"Butyrate enhances CPT1A activity to promote fatty acid oxidation and iTreg differentiation","type":"article-journal","volume":"118"},"uris":["http://www.mendeley.com/documents/?uuid=4e79fada-9782-4232-97c6-357668f675d0"]}],"mendeley":{"formattedCitation":"(Hao et al., 2021)","plainTextFormattedCitation":"(Hao et al., 2021)","previouslyFormattedCitation":"(Hao et al., 2021)"},"properties":{"noteIndex":0},"schema":"https://github.com/citation-style-language/schema/raw/master/csl-citation.json"}</w:instrText>
            </w:r>
            <w:r w:rsidRPr="001B6224">
              <w:rPr>
                <w:rFonts w:eastAsia="宋体"/>
                <w:sz w:val="22"/>
                <w:szCs w:val="22"/>
                <w:lang w:eastAsia="zh-CN"/>
              </w:rPr>
              <w:fldChar w:fldCharType="separate"/>
            </w:r>
            <w:r w:rsidRPr="001B6224">
              <w:rPr>
                <w:rFonts w:eastAsia="宋体"/>
                <w:noProof/>
                <w:sz w:val="22"/>
                <w:szCs w:val="22"/>
                <w:lang w:eastAsia="zh-CN"/>
              </w:rPr>
              <w:t>(Hao et al., 2021)</w:t>
            </w:r>
            <w:r w:rsidRPr="001B6224">
              <w:rPr>
                <w:rFonts w:eastAsia="宋体"/>
                <w:sz w:val="22"/>
                <w:szCs w:val="22"/>
                <w:lang w:eastAsia="zh-CN"/>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85E04C" w14:textId="697CBF64"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ABE7D" w14:textId="3DE5196F"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ACUUUGGUAUGCAUGGAUGTT</w:t>
            </w:r>
          </w:p>
        </w:tc>
      </w:tr>
      <w:tr w:rsidR="00796BBC" w:rsidRPr="001B6224" w14:paraId="49F52EDF" w14:textId="77777777" w:rsidTr="00796BBC">
        <w:trPr>
          <w:trHeight w:val="456"/>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BD5615"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sz w:val="22"/>
                <w:szCs w:val="22"/>
                <w:lang w:eastAsia="zh-CN"/>
              </w:rPr>
              <w:t>Negative control siRNA-F</w:t>
            </w:r>
            <w:bookmarkStart w:id="3" w:name="_GoBack"/>
            <w:bookmarkEnd w:id="3"/>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9C25CA"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29F21"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7FB2A4"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UUCUCCGAACGUGUCACGUTT</w:t>
            </w:r>
          </w:p>
        </w:tc>
      </w:tr>
      <w:tr w:rsidR="00796BBC" w:rsidRPr="001B6224" w14:paraId="72BF3209" w14:textId="77777777" w:rsidTr="00796BBC">
        <w:trPr>
          <w:trHeight w:val="335"/>
        </w:trPr>
        <w:tc>
          <w:tcPr>
            <w:tcW w:w="1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A66AA"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sz w:val="22"/>
                <w:szCs w:val="22"/>
                <w:lang w:eastAsia="zh-CN"/>
              </w:rPr>
              <w:t>Negative control siRNA-R</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C15829" w14:textId="77777777" w:rsidR="00796BBC" w:rsidRPr="001B6224" w:rsidRDefault="00796BBC" w:rsidP="00990E33">
            <w:pPr>
              <w:pStyle w:val="a9"/>
              <w:spacing w:before="0" w:beforeAutospacing="0" w:after="0" w:afterAutospacing="0"/>
              <w:ind w:left="120" w:right="120"/>
              <w:rPr>
                <w:color w:val="000000"/>
                <w:sz w:val="22"/>
                <w:szCs w:val="22"/>
                <w:lang w:eastAsia="zh-CN"/>
              </w:rPr>
            </w:pPr>
            <w:r w:rsidRPr="001B6224">
              <w:rPr>
                <w:rFonts w:eastAsia="宋体"/>
                <w:sz w:val="22"/>
                <w:szCs w:val="22"/>
                <w:lang w:eastAsia="zh-CN"/>
              </w:rPr>
              <w:t>Suzhou GenePharma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5FCC8C" w14:textId="77777777" w:rsidR="00796BBC" w:rsidRPr="001B6224" w:rsidRDefault="00796BBC" w:rsidP="00990E33">
            <w:pPr>
              <w:pStyle w:val="a9"/>
              <w:spacing w:before="0" w:beforeAutospacing="0" w:after="0" w:afterAutospacing="0"/>
              <w:ind w:left="120" w:right="120"/>
              <w:rPr>
                <w:rFonts w:eastAsia="宋体"/>
                <w:color w:val="000000"/>
                <w:sz w:val="22"/>
                <w:szCs w:val="22"/>
                <w:lang w:eastAsia="zh-CN"/>
              </w:rPr>
            </w:pPr>
            <w:r w:rsidRPr="001B6224">
              <w:rPr>
                <w:rFonts w:eastAsia="宋体"/>
                <w:color w:val="000000"/>
                <w:sz w:val="22"/>
                <w:szCs w:val="22"/>
                <w:lang w:eastAsia="zh-CN"/>
              </w:rPr>
              <w:t>siRNAs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3704C7" w14:textId="77777777" w:rsidR="00796BBC" w:rsidRPr="001B6224" w:rsidRDefault="00796BBC" w:rsidP="00990E33">
            <w:pPr>
              <w:pStyle w:val="a9"/>
              <w:spacing w:before="0" w:beforeAutospacing="0" w:after="0" w:afterAutospacing="0"/>
              <w:ind w:left="120" w:right="120"/>
              <w:rPr>
                <w:rFonts w:eastAsia="宋体"/>
                <w:sz w:val="22"/>
                <w:szCs w:val="22"/>
                <w:lang w:eastAsia="zh-CN"/>
              </w:rPr>
            </w:pPr>
            <w:r w:rsidRPr="001B6224">
              <w:rPr>
                <w:rFonts w:eastAsia="宋体"/>
                <w:sz w:val="22"/>
                <w:szCs w:val="22"/>
                <w:lang w:eastAsia="zh-CN"/>
              </w:rPr>
              <w:t>ACGUGACACGUUCGGAGAATT</w:t>
            </w:r>
          </w:p>
        </w:tc>
      </w:tr>
    </w:tbl>
    <w:p w14:paraId="5607EBAD" w14:textId="43A8569A" w:rsidR="00703479" w:rsidRPr="001B6224" w:rsidRDefault="00703479" w:rsidP="00812CD8">
      <w:pPr>
        <w:pStyle w:val="a9"/>
        <w:spacing w:before="0" w:beforeAutospacing="0" w:after="0" w:afterAutospacing="0"/>
        <w:rPr>
          <w:rFonts w:eastAsia="宋体"/>
          <w:sz w:val="22"/>
          <w:szCs w:val="22"/>
          <w:lang w:eastAsia="zh-CN"/>
        </w:rPr>
      </w:pPr>
    </w:p>
    <w:p w14:paraId="072255D3" w14:textId="7E68C6DB" w:rsidR="0089212E" w:rsidRPr="001B6224" w:rsidRDefault="00796BBC" w:rsidP="00812CD8">
      <w:pPr>
        <w:pStyle w:val="a9"/>
        <w:spacing w:before="0" w:beforeAutospacing="0" w:after="0" w:afterAutospacing="0"/>
        <w:rPr>
          <w:rFonts w:eastAsia="宋体"/>
          <w:b/>
          <w:sz w:val="22"/>
          <w:szCs w:val="22"/>
          <w:lang w:eastAsia="zh-CN"/>
        </w:rPr>
      </w:pPr>
      <w:r w:rsidRPr="001B6224">
        <w:rPr>
          <w:rFonts w:eastAsia="宋体"/>
          <w:b/>
          <w:sz w:val="22"/>
          <w:szCs w:val="22"/>
          <w:lang w:eastAsia="zh-CN"/>
        </w:rPr>
        <w:t>References</w:t>
      </w:r>
    </w:p>
    <w:p w14:paraId="5167D16C" w14:textId="78A61A83" w:rsidR="00C512DB" w:rsidRPr="00C512DB" w:rsidRDefault="0089212E" w:rsidP="00C512DB">
      <w:pPr>
        <w:autoSpaceDE w:val="0"/>
        <w:autoSpaceDN w:val="0"/>
        <w:adjustRightInd w:val="0"/>
        <w:ind w:left="480" w:hanging="480"/>
        <w:jc w:val="both"/>
        <w:rPr>
          <w:rFonts w:ascii="Times New Roman" w:hAnsi="Times New Roman" w:cs="Times New Roman"/>
          <w:noProof/>
          <w:sz w:val="20"/>
        </w:rPr>
      </w:pPr>
      <w:r w:rsidRPr="001B6224">
        <w:rPr>
          <w:rFonts w:ascii="Times New Roman" w:eastAsia="宋体" w:hAnsi="Times New Roman" w:cs="Times New Roman"/>
          <w:sz w:val="20"/>
          <w:szCs w:val="20"/>
          <w:lang w:eastAsia="zh-CN"/>
        </w:rPr>
        <w:fldChar w:fldCharType="begin" w:fldLock="1"/>
      </w:r>
      <w:r w:rsidRPr="001B6224">
        <w:rPr>
          <w:rFonts w:ascii="Times New Roman" w:eastAsia="宋体" w:hAnsi="Times New Roman" w:cs="Times New Roman"/>
          <w:sz w:val="20"/>
          <w:szCs w:val="20"/>
          <w:lang w:eastAsia="zh-CN"/>
        </w:rPr>
        <w:instrText xml:space="preserve">ADDIN Mendeley Bibliography CSL_BIBLIOGRAPHY </w:instrText>
      </w:r>
      <w:r w:rsidRPr="001B6224">
        <w:rPr>
          <w:rFonts w:ascii="Times New Roman" w:eastAsia="宋体" w:hAnsi="Times New Roman" w:cs="Times New Roman"/>
          <w:sz w:val="20"/>
          <w:szCs w:val="20"/>
          <w:lang w:eastAsia="zh-CN"/>
        </w:rPr>
        <w:fldChar w:fldCharType="separate"/>
      </w:r>
      <w:r w:rsidR="00C512DB" w:rsidRPr="00C512DB">
        <w:rPr>
          <w:rFonts w:ascii="Times New Roman" w:hAnsi="Times New Roman" w:cs="Times New Roman"/>
          <w:noProof/>
          <w:sz w:val="20"/>
        </w:rPr>
        <w:t xml:space="preserve">Dong X, Li J, Li S, Zhang J, Hua ZC. 2008. A novel genotyping strategy based on allele-specific inverse PCR for rapid and reliable identification of conditional FADD knockout mice. </w:t>
      </w:r>
      <w:r w:rsidR="00C512DB" w:rsidRPr="00C512DB">
        <w:rPr>
          <w:rFonts w:ascii="Times New Roman" w:hAnsi="Times New Roman" w:cs="Times New Roman"/>
          <w:i/>
          <w:iCs/>
          <w:noProof/>
          <w:sz w:val="20"/>
        </w:rPr>
        <w:t>Mol Biotechnol</w:t>
      </w:r>
      <w:r w:rsidR="00C512DB" w:rsidRPr="00C512DB">
        <w:rPr>
          <w:rFonts w:ascii="Times New Roman" w:hAnsi="Times New Roman" w:cs="Times New Roman"/>
          <w:noProof/>
          <w:sz w:val="20"/>
        </w:rPr>
        <w:t xml:space="preserve"> </w:t>
      </w:r>
      <w:r w:rsidR="00C512DB" w:rsidRPr="00C512DB">
        <w:rPr>
          <w:rFonts w:ascii="Times New Roman" w:hAnsi="Times New Roman" w:cs="Times New Roman"/>
          <w:b/>
          <w:bCs/>
          <w:noProof/>
          <w:sz w:val="20"/>
        </w:rPr>
        <w:t>38</w:t>
      </w:r>
      <w:r w:rsidR="00C512DB" w:rsidRPr="00C512DB">
        <w:rPr>
          <w:rFonts w:ascii="Times New Roman" w:hAnsi="Times New Roman" w:cs="Times New Roman"/>
          <w:noProof/>
          <w:sz w:val="20"/>
        </w:rPr>
        <w:t>:129–135. doi:10.1007/s12033-007-9002-y</w:t>
      </w:r>
    </w:p>
    <w:p w14:paraId="16D9FB9F" w14:textId="77777777" w:rsidR="00C512DB" w:rsidRPr="00C512DB" w:rsidRDefault="00C512DB" w:rsidP="00C512DB">
      <w:pPr>
        <w:autoSpaceDE w:val="0"/>
        <w:autoSpaceDN w:val="0"/>
        <w:adjustRightInd w:val="0"/>
        <w:ind w:left="480" w:hanging="480"/>
        <w:jc w:val="both"/>
        <w:rPr>
          <w:rFonts w:ascii="Times New Roman" w:hAnsi="Times New Roman" w:cs="Times New Roman"/>
          <w:noProof/>
          <w:sz w:val="20"/>
        </w:rPr>
      </w:pPr>
      <w:r w:rsidRPr="00C512DB">
        <w:rPr>
          <w:rFonts w:ascii="Times New Roman" w:hAnsi="Times New Roman" w:cs="Times New Roman"/>
          <w:noProof/>
          <w:sz w:val="20"/>
        </w:rPr>
        <w:t xml:space="preserve">Gareau MG, Wine E, Rodrigues DM, Cho JH, Whary MT, Philpott DJ, MacQueen G, Sherman PM. 2011. Bacterial infection causes stress-induced memory dysfunction in mice. </w:t>
      </w:r>
      <w:r w:rsidRPr="00C512DB">
        <w:rPr>
          <w:rFonts w:ascii="Times New Roman" w:hAnsi="Times New Roman" w:cs="Times New Roman"/>
          <w:i/>
          <w:iCs/>
          <w:noProof/>
          <w:sz w:val="20"/>
        </w:rPr>
        <w:t>Gut</w:t>
      </w:r>
      <w:r w:rsidRPr="00C512DB">
        <w:rPr>
          <w:rFonts w:ascii="Times New Roman" w:hAnsi="Times New Roman" w:cs="Times New Roman"/>
          <w:noProof/>
          <w:sz w:val="20"/>
        </w:rPr>
        <w:t xml:space="preserve"> </w:t>
      </w:r>
      <w:r w:rsidRPr="00C512DB">
        <w:rPr>
          <w:rFonts w:ascii="Times New Roman" w:hAnsi="Times New Roman" w:cs="Times New Roman"/>
          <w:b/>
          <w:bCs/>
          <w:noProof/>
          <w:sz w:val="20"/>
        </w:rPr>
        <w:t>60</w:t>
      </w:r>
      <w:r w:rsidRPr="00C512DB">
        <w:rPr>
          <w:rFonts w:ascii="Times New Roman" w:hAnsi="Times New Roman" w:cs="Times New Roman"/>
          <w:noProof/>
          <w:sz w:val="20"/>
        </w:rPr>
        <w:t>:307–317. doi:10.1136/gut.2009.202515</w:t>
      </w:r>
    </w:p>
    <w:p w14:paraId="4396BF01" w14:textId="77777777" w:rsidR="00C512DB" w:rsidRPr="00C512DB" w:rsidRDefault="00C512DB" w:rsidP="00C512DB">
      <w:pPr>
        <w:autoSpaceDE w:val="0"/>
        <w:autoSpaceDN w:val="0"/>
        <w:adjustRightInd w:val="0"/>
        <w:ind w:left="480" w:hanging="480"/>
        <w:jc w:val="both"/>
        <w:rPr>
          <w:rFonts w:ascii="Times New Roman" w:hAnsi="Times New Roman" w:cs="Times New Roman"/>
          <w:noProof/>
          <w:sz w:val="20"/>
        </w:rPr>
      </w:pPr>
      <w:r w:rsidRPr="00C512DB">
        <w:rPr>
          <w:rFonts w:ascii="Times New Roman" w:hAnsi="Times New Roman" w:cs="Times New Roman"/>
          <w:noProof/>
          <w:sz w:val="20"/>
        </w:rPr>
        <w:t xml:space="preserve">Hao F, Tian M, Zhang X, Jin X, Jiang Y, Sun X, Wang Y, Peng P, Liu J, Xia C, Feng Y, Wei M. 2021. Butyrate enhances CPT1A activity to promote fatty acid oxidation and iTreg differentiation. </w:t>
      </w:r>
      <w:r w:rsidRPr="00C512DB">
        <w:rPr>
          <w:rFonts w:ascii="Times New Roman" w:hAnsi="Times New Roman" w:cs="Times New Roman"/>
          <w:i/>
          <w:iCs/>
          <w:noProof/>
          <w:sz w:val="20"/>
        </w:rPr>
        <w:t>Proc Natl Acad Sci</w:t>
      </w:r>
      <w:r w:rsidRPr="00C512DB">
        <w:rPr>
          <w:rFonts w:ascii="Times New Roman" w:hAnsi="Times New Roman" w:cs="Times New Roman"/>
          <w:noProof/>
          <w:sz w:val="20"/>
        </w:rPr>
        <w:t xml:space="preserve"> </w:t>
      </w:r>
      <w:r w:rsidRPr="00C512DB">
        <w:rPr>
          <w:rFonts w:ascii="Times New Roman" w:hAnsi="Times New Roman" w:cs="Times New Roman"/>
          <w:b/>
          <w:bCs/>
          <w:noProof/>
          <w:sz w:val="20"/>
        </w:rPr>
        <w:t>118</w:t>
      </w:r>
      <w:r w:rsidRPr="00C512DB">
        <w:rPr>
          <w:rFonts w:ascii="Times New Roman" w:hAnsi="Times New Roman" w:cs="Times New Roman"/>
          <w:noProof/>
          <w:sz w:val="20"/>
        </w:rPr>
        <w:t>:e2014681118. doi:10.1073/pnas.2014681118</w:t>
      </w:r>
    </w:p>
    <w:p w14:paraId="092A64B4" w14:textId="77777777" w:rsidR="00C512DB" w:rsidRPr="00C512DB" w:rsidRDefault="00C512DB" w:rsidP="00C512DB">
      <w:pPr>
        <w:autoSpaceDE w:val="0"/>
        <w:autoSpaceDN w:val="0"/>
        <w:adjustRightInd w:val="0"/>
        <w:ind w:left="480" w:hanging="480"/>
        <w:jc w:val="both"/>
        <w:rPr>
          <w:rFonts w:ascii="Times New Roman" w:hAnsi="Times New Roman" w:cs="Times New Roman"/>
          <w:noProof/>
          <w:sz w:val="20"/>
        </w:rPr>
      </w:pPr>
      <w:r w:rsidRPr="00C512DB">
        <w:rPr>
          <w:rFonts w:ascii="Times New Roman" w:hAnsi="Times New Roman" w:cs="Times New Roman"/>
          <w:noProof/>
          <w:sz w:val="20"/>
        </w:rPr>
        <w:t xml:space="preserve">Teng C-F, Wu H-C, Hsieh W-C, Tsai H-W, Su I-J. 2015. Activation of ATP citrate lyase by mTOR signal induces disturbed lipid metabolism in hepatitis B virus pre-S2 mutant tumorigenesis. </w:t>
      </w:r>
      <w:r w:rsidRPr="00C512DB">
        <w:rPr>
          <w:rFonts w:ascii="Times New Roman" w:hAnsi="Times New Roman" w:cs="Times New Roman"/>
          <w:i/>
          <w:iCs/>
          <w:noProof/>
          <w:sz w:val="20"/>
        </w:rPr>
        <w:t>J Virol</w:t>
      </w:r>
      <w:r w:rsidRPr="00C512DB">
        <w:rPr>
          <w:rFonts w:ascii="Times New Roman" w:hAnsi="Times New Roman" w:cs="Times New Roman"/>
          <w:noProof/>
          <w:sz w:val="20"/>
        </w:rPr>
        <w:t xml:space="preserve"> </w:t>
      </w:r>
      <w:r w:rsidRPr="00C512DB">
        <w:rPr>
          <w:rFonts w:ascii="Times New Roman" w:hAnsi="Times New Roman" w:cs="Times New Roman"/>
          <w:b/>
          <w:bCs/>
          <w:noProof/>
          <w:sz w:val="20"/>
        </w:rPr>
        <w:t>89</w:t>
      </w:r>
      <w:r w:rsidRPr="00C512DB">
        <w:rPr>
          <w:rFonts w:ascii="Times New Roman" w:hAnsi="Times New Roman" w:cs="Times New Roman"/>
          <w:noProof/>
          <w:sz w:val="20"/>
        </w:rPr>
        <w:t>:605–614. doi:10.1128/jvi.02363-14</w:t>
      </w:r>
    </w:p>
    <w:p w14:paraId="3A6610FA" w14:textId="77777777" w:rsidR="00C512DB" w:rsidRPr="00C512DB" w:rsidRDefault="00C512DB" w:rsidP="00C512DB">
      <w:pPr>
        <w:autoSpaceDE w:val="0"/>
        <w:autoSpaceDN w:val="0"/>
        <w:adjustRightInd w:val="0"/>
        <w:ind w:left="480" w:hanging="480"/>
        <w:jc w:val="both"/>
        <w:rPr>
          <w:rFonts w:ascii="Times New Roman" w:hAnsi="Times New Roman" w:cs="Times New Roman"/>
          <w:noProof/>
          <w:sz w:val="20"/>
        </w:rPr>
      </w:pPr>
      <w:r w:rsidRPr="00C512DB">
        <w:rPr>
          <w:rFonts w:ascii="Times New Roman" w:hAnsi="Times New Roman" w:cs="Times New Roman"/>
          <w:noProof/>
          <w:sz w:val="20"/>
        </w:rPr>
        <w:t xml:space="preserve">Zhang Q, Yu S, Huang X, Tan Y, Zhu C, Wang YL, Wang Haibin, Lin HY, Fu J, Wang Hongmei. 2015. New insights into the function of Cullin 3 in trophoblast invasion and migration. </w:t>
      </w:r>
      <w:r w:rsidRPr="00C512DB">
        <w:rPr>
          <w:rFonts w:ascii="Times New Roman" w:hAnsi="Times New Roman" w:cs="Times New Roman"/>
          <w:i/>
          <w:iCs/>
          <w:noProof/>
          <w:sz w:val="20"/>
        </w:rPr>
        <w:t>Reproduction</w:t>
      </w:r>
      <w:r w:rsidRPr="00C512DB">
        <w:rPr>
          <w:rFonts w:ascii="Times New Roman" w:hAnsi="Times New Roman" w:cs="Times New Roman"/>
          <w:noProof/>
          <w:sz w:val="20"/>
        </w:rPr>
        <w:t xml:space="preserve"> </w:t>
      </w:r>
      <w:r w:rsidRPr="00C512DB">
        <w:rPr>
          <w:rFonts w:ascii="Times New Roman" w:hAnsi="Times New Roman" w:cs="Times New Roman"/>
          <w:b/>
          <w:bCs/>
          <w:noProof/>
          <w:sz w:val="20"/>
        </w:rPr>
        <w:t>150</w:t>
      </w:r>
      <w:r w:rsidRPr="00C512DB">
        <w:rPr>
          <w:rFonts w:ascii="Times New Roman" w:hAnsi="Times New Roman" w:cs="Times New Roman"/>
          <w:noProof/>
          <w:sz w:val="20"/>
        </w:rPr>
        <w:t>:139–149. doi:10.1530/REP-15-0126</w:t>
      </w:r>
    </w:p>
    <w:p w14:paraId="38C69486" w14:textId="17540FAD" w:rsidR="00936EE3" w:rsidRPr="00C512DB" w:rsidRDefault="0089212E" w:rsidP="00C512DB">
      <w:pPr>
        <w:autoSpaceDE w:val="0"/>
        <w:autoSpaceDN w:val="0"/>
        <w:adjustRightInd w:val="0"/>
        <w:jc w:val="both"/>
        <w:rPr>
          <w:rFonts w:ascii="Times New Roman" w:eastAsia="宋体" w:hAnsi="Times New Roman" w:cs="Times New Roman"/>
          <w:sz w:val="22"/>
          <w:szCs w:val="22"/>
          <w:lang w:eastAsia="zh-CN"/>
        </w:rPr>
      </w:pPr>
      <w:r w:rsidRPr="001B6224">
        <w:rPr>
          <w:rFonts w:ascii="Times New Roman" w:eastAsia="宋体" w:hAnsi="Times New Roman" w:cs="Times New Roman"/>
          <w:sz w:val="20"/>
          <w:szCs w:val="20"/>
          <w:lang w:eastAsia="zh-CN"/>
        </w:rPr>
        <w:fldChar w:fldCharType="end"/>
      </w:r>
    </w:p>
    <w:sectPr w:rsidR="00936EE3" w:rsidRPr="00C512DB" w:rsidSect="00C51A0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715A1" w14:textId="77777777" w:rsidR="00D86385" w:rsidRDefault="00D86385" w:rsidP="003C053F">
      <w:r>
        <w:separator/>
      </w:r>
    </w:p>
  </w:endnote>
  <w:endnote w:type="continuationSeparator" w:id="0">
    <w:p w14:paraId="27CCF561" w14:textId="77777777" w:rsidR="00D86385" w:rsidRDefault="00D86385" w:rsidP="003C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CAE6E" w14:textId="77777777" w:rsidR="00D86385" w:rsidRDefault="00D86385" w:rsidP="003C053F">
      <w:r>
        <w:separator/>
      </w:r>
    </w:p>
  </w:footnote>
  <w:footnote w:type="continuationSeparator" w:id="0">
    <w:p w14:paraId="01D44D7D" w14:textId="77777777" w:rsidR="00D86385" w:rsidRDefault="00D86385" w:rsidP="003C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1711"/>
    <w:multiLevelType w:val="hybridMultilevel"/>
    <w:tmpl w:val="538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70A33"/>
    <w:multiLevelType w:val="hybridMultilevel"/>
    <w:tmpl w:val="ED567CA8"/>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8427F"/>
    <w:multiLevelType w:val="hybridMultilevel"/>
    <w:tmpl w:val="70F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B2891"/>
    <w:multiLevelType w:val="hybridMultilevel"/>
    <w:tmpl w:val="0E3A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DF3FD1"/>
    <w:multiLevelType w:val="hybridMultilevel"/>
    <w:tmpl w:val="F6CEF6FE"/>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73F79"/>
    <w:multiLevelType w:val="hybridMultilevel"/>
    <w:tmpl w:val="7284CD64"/>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F3548"/>
    <w:multiLevelType w:val="hybridMultilevel"/>
    <w:tmpl w:val="90BA9600"/>
    <w:lvl w:ilvl="0" w:tplc="213C6C6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2531B"/>
    <w:multiLevelType w:val="hybridMultilevel"/>
    <w:tmpl w:val="1754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01401"/>
    <w:multiLevelType w:val="hybridMultilevel"/>
    <w:tmpl w:val="578ADB24"/>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76097"/>
    <w:multiLevelType w:val="hybridMultilevel"/>
    <w:tmpl w:val="BAE45246"/>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3A6DEB"/>
    <w:multiLevelType w:val="hybridMultilevel"/>
    <w:tmpl w:val="29364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D05EDC"/>
    <w:multiLevelType w:val="hybridMultilevel"/>
    <w:tmpl w:val="B69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DA198F"/>
    <w:multiLevelType w:val="hybridMultilevel"/>
    <w:tmpl w:val="57027BEC"/>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32B4C"/>
    <w:multiLevelType w:val="hybridMultilevel"/>
    <w:tmpl w:val="65CCAD2E"/>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11"/>
  </w:num>
  <w:num w:numId="5">
    <w:abstractNumId w:val="9"/>
  </w:num>
  <w:num w:numId="6">
    <w:abstractNumId w:val="1"/>
  </w:num>
  <w:num w:numId="7">
    <w:abstractNumId w:val="12"/>
  </w:num>
  <w:num w:numId="8">
    <w:abstractNumId w:val="5"/>
  </w:num>
  <w:num w:numId="9">
    <w:abstractNumId w:val="7"/>
  </w:num>
  <w:num w:numId="10">
    <w:abstractNumId w:val="2"/>
  </w:num>
  <w:num w:numId="11">
    <w:abstractNumId w:val="10"/>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4A"/>
    <w:rsid w:val="0002070F"/>
    <w:rsid w:val="00054F46"/>
    <w:rsid w:val="00062F3C"/>
    <w:rsid w:val="00075DC9"/>
    <w:rsid w:val="000E1C34"/>
    <w:rsid w:val="00126344"/>
    <w:rsid w:val="00133796"/>
    <w:rsid w:val="00136804"/>
    <w:rsid w:val="001509D3"/>
    <w:rsid w:val="001B2DE8"/>
    <w:rsid w:val="001B6224"/>
    <w:rsid w:val="001C2C39"/>
    <w:rsid w:val="001F7DF1"/>
    <w:rsid w:val="00262151"/>
    <w:rsid w:val="0028186B"/>
    <w:rsid w:val="002939C5"/>
    <w:rsid w:val="002C0AEE"/>
    <w:rsid w:val="002D602A"/>
    <w:rsid w:val="002F6EB2"/>
    <w:rsid w:val="0030641B"/>
    <w:rsid w:val="00322D82"/>
    <w:rsid w:val="003476AC"/>
    <w:rsid w:val="0037423A"/>
    <w:rsid w:val="003A5866"/>
    <w:rsid w:val="003A7202"/>
    <w:rsid w:val="003C053F"/>
    <w:rsid w:val="0042240D"/>
    <w:rsid w:val="00431816"/>
    <w:rsid w:val="004A6388"/>
    <w:rsid w:val="004D33DF"/>
    <w:rsid w:val="004D40B7"/>
    <w:rsid w:val="004D4469"/>
    <w:rsid w:val="004F0F39"/>
    <w:rsid w:val="00500F41"/>
    <w:rsid w:val="0056209D"/>
    <w:rsid w:val="00562B05"/>
    <w:rsid w:val="0056404C"/>
    <w:rsid w:val="00590890"/>
    <w:rsid w:val="00591A80"/>
    <w:rsid w:val="005C2086"/>
    <w:rsid w:val="00604C0B"/>
    <w:rsid w:val="00615C77"/>
    <w:rsid w:val="00617365"/>
    <w:rsid w:val="0062252A"/>
    <w:rsid w:val="00624752"/>
    <w:rsid w:val="006A723C"/>
    <w:rsid w:val="006A7C46"/>
    <w:rsid w:val="006E432B"/>
    <w:rsid w:val="006E6C0A"/>
    <w:rsid w:val="00703479"/>
    <w:rsid w:val="00710C2A"/>
    <w:rsid w:val="00765E7B"/>
    <w:rsid w:val="00774459"/>
    <w:rsid w:val="00796A9C"/>
    <w:rsid w:val="00796BBC"/>
    <w:rsid w:val="007B488B"/>
    <w:rsid w:val="007B56B3"/>
    <w:rsid w:val="00812CD8"/>
    <w:rsid w:val="008413FF"/>
    <w:rsid w:val="00846C9F"/>
    <w:rsid w:val="00853E69"/>
    <w:rsid w:val="00860968"/>
    <w:rsid w:val="00874F6F"/>
    <w:rsid w:val="0088090F"/>
    <w:rsid w:val="0089212E"/>
    <w:rsid w:val="00897BC7"/>
    <w:rsid w:val="008B2E89"/>
    <w:rsid w:val="008D6901"/>
    <w:rsid w:val="008E15C9"/>
    <w:rsid w:val="008E4E6D"/>
    <w:rsid w:val="00904A51"/>
    <w:rsid w:val="00906396"/>
    <w:rsid w:val="00925122"/>
    <w:rsid w:val="00934309"/>
    <w:rsid w:val="00936EE3"/>
    <w:rsid w:val="00946A78"/>
    <w:rsid w:val="00990E33"/>
    <w:rsid w:val="009A4D4A"/>
    <w:rsid w:val="009C0D41"/>
    <w:rsid w:val="009C4479"/>
    <w:rsid w:val="009D1279"/>
    <w:rsid w:val="009D1DD2"/>
    <w:rsid w:val="00A20F53"/>
    <w:rsid w:val="00A26B6F"/>
    <w:rsid w:val="00A34C8D"/>
    <w:rsid w:val="00A46C1C"/>
    <w:rsid w:val="00A5426C"/>
    <w:rsid w:val="00A72C8E"/>
    <w:rsid w:val="00A92D56"/>
    <w:rsid w:val="00AA19A3"/>
    <w:rsid w:val="00AA1D03"/>
    <w:rsid w:val="00AA5CDC"/>
    <w:rsid w:val="00AE1634"/>
    <w:rsid w:val="00B161A2"/>
    <w:rsid w:val="00B53F1F"/>
    <w:rsid w:val="00B66C52"/>
    <w:rsid w:val="00B7749A"/>
    <w:rsid w:val="00BB284A"/>
    <w:rsid w:val="00BC5E1E"/>
    <w:rsid w:val="00BE3299"/>
    <w:rsid w:val="00C13FC2"/>
    <w:rsid w:val="00C21122"/>
    <w:rsid w:val="00C31816"/>
    <w:rsid w:val="00C512DB"/>
    <w:rsid w:val="00C51A09"/>
    <w:rsid w:val="00C83A78"/>
    <w:rsid w:val="00C851D9"/>
    <w:rsid w:val="00CA16BD"/>
    <w:rsid w:val="00CA42E6"/>
    <w:rsid w:val="00CC038E"/>
    <w:rsid w:val="00CD0025"/>
    <w:rsid w:val="00CD27C0"/>
    <w:rsid w:val="00CE230C"/>
    <w:rsid w:val="00CE66F1"/>
    <w:rsid w:val="00CF5F55"/>
    <w:rsid w:val="00CF5F94"/>
    <w:rsid w:val="00D638CD"/>
    <w:rsid w:val="00D7013A"/>
    <w:rsid w:val="00D77AD2"/>
    <w:rsid w:val="00D85C9E"/>
    <w:rsid w:val="00D86385"/>
    <w:rsid w:val="00DC5F5D"/>
    <w:rsid w:val="00DD3C98"/>
    <w:rsid w:val="00E26ACC"/>
    <w:rsid w:val="00E502AD"/>
    <w:rsid w:val="00E6141B"/>
    <w:rsid w:val="00E77BBD"/>
    <w:rsid w:val="00E87C79"/>
    <w:rsid w:val="00E87EC6"/>
    <w:rsid w:val="00EB388F"/>
    <w:rsid w:val="00EB64F2"/>
    <w:rsid w:val="00ED63B9"/>
    <w:rsid w:val="00ED7EAA"/>
    <w:rsid w:val="00F039E1"/>
    <w:rsid w:val="00F03DFB"/>
    <w:rsid w:val="00F0439B"/>
    <w:rsid w:val="00F26F0C"/>
    <w:rsid w:val="00F30A3A"/>
    <w:rsid w:val="00F44836"/>
    <w:rsid w:val="00F92CBB"/>
    <w:rsid w:val="00FA0A3D"/>
    <w:rsid w:val="00FA2BE9"/>
    <w:rsid w:val="00FB701C"/>
    <w:rsid w:val="00FE68C8"/>
    <w:rsid w:val="00FF62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6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84A"/>
    <w:pPr>
      <w:ind w:left="720"/>
      <w:contextualSpacing/>
    </w:pPr>
  </w:style>
  <w:style w:type="table" w:styleId="a4">
    <w:name w:val="Table Grid"/>
    <w:basedOn w:val="a1"/>
    <w:uiPriority w:val="59"/>
    <w:rsid w:val="00BB2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936EE3"/>
    <w:rPr>
      <w:color w:val="0000FF"/>
      <w:u w:val="single"/>
    </w:rPr>
  </w:style>
  <w:style w:type="paragraph" w:styleId="a6">
    <w:name w:val="header"/>
    <w:basedOn w:val="a"/>
    <w:link w:val="Char"/>
    <w:uiPriority w:val="99"/>
    <w:unhideWhenUsed/>
    <w:rsid w:val="003C053F"/>
    <w:pPr>
      <w:tabs>
        <w:tab w:val="center" w:pos="4320"/>
        <w:tab w:val="right" w:pos="8640"/>
      </w:tabs>
    </w:pPr>
  </w:style>
  <w:style w:type="character" w:customStyle="1" w:styleId="Char">
    <w:name w:val="页眉 Char"/>
    <w:basedOn w:val="a0"/>
    <w:link w:val="a6"/>
    <w:uiPriority w:val="99"/>
    <w:rsid w:val="003C053F"/>
  </w:style>
  <w:style w:type="paragraph" w:styleId="a7">
    <w:name w:val="footer"/>
    <w:basedOn w:val="a"/>
    <w:link w:val="Char0"/>
    <w:uiPriority w:val="99"/>
    <w:unhideWhenUsed/>
    <w:rsid w:val="003C053F"/>
    <w:pPr>
      <w:tabs>
        <w:tab w:val="center" w:pos="4320"/>
        <w:tab w:val="right" w:pos="8640"/>
      </w:tabs>
    </w:pPr>
  </w:style>
  <w:style w:type="character" w:customStyle="1" w:styleId="Char0">
    <w:name w:val="页脚 Char"/>
    <w:basedOn w:val="a0"/>
    <w:link w:val="a7"/>
    <w:uiPriority w:val="99"/>
    <w:rsid w:val="003C053F"/>
  </w:style>
  <w:style w:type="character" w:styleId="a8">
    <w:name w:val="FollowedHyperlink"/>
    <w:basedOn w:val="a0"/>
    <w:uiPriority w:val="99"/>
    <w:semiHidden/>
    <w:unhideWhenUsed/>
    <w:rsid w:val="003C053F"/>
    <w:rPr>
      <w:color w:val="800080" w:themeColor="followedHyperlink"/>
      <w:u w:val="single"/>
    </w:rPr>
  </w:style>
  <w:style w:type="paragraph" w:styleId="a9">
    <w:name w:val="Normal (Web)"/>
    <w:basedOn w:val="a"/>
    <w:uiPriority w:val="99"/>
    <w:unhideWhenUsed/>
    <w:rsid w:val="00703479"/>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84A"/>
    <w:pPr>
      <w:ind w:left="720"/>
      <w:contextualSpacing/>
    </w:pPr>
  </w:style>
  <w:style w:type="table" w:styleId="a4">
    <w:name w:val="Table Grid"/>
    <w:basedOn w:val="a1"/>
    <w:uiPriority w:val="59"/>
    <w:rsid w:val="00BB2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936EE3"/>
    <w:rPr>
      <w:color w:val="0000FF"/>
      <w:u w:val="single"/>
    </w:rPr>
  </w:style>
  <w:style w:type="paragraph" w:styleId="a6">
    <w:name w:val="header"/>
    <w:basedOn w:val="a"/>
    <w:link w:val="Char"/>
    <w:uiPriority w:val="99"/>
    <w:unhideWhenUsed/>
    <w:rsid w:val="003C053F"/>
    <w:pPr>
      <w:tabs>
        <w:tab w:val="center" w:pos="4320"/>
        <w:tab w:val="right" w:pos="8640"/>
      </w:tabs>
    </w:pPr>
  </w:style>
  <w:style w:type="character" w:customStyle="1" w:styleId="Char">
    <w:name w:val="页眉 Char"/>
    <w:basedOn w:val="a0"/>
    <w:link w:val="a6"/>
    <w:uiPriority w:val="99"/>
    <w:rsid w:val="003C053F"/>
  </w:style>
  <w:style w:type="paragraph" w:styleId="a7">
    <w:name w:val="footer"/>
    <w:basedOn w:val="a"/>
    <w:link w:val="Char0"/>
    <w:uiPriority w:val="99"/>
    <w:unhideWhenUsed/>
    <w:rsid w:val="003C053F"/>
    <w:pPr>
      <w:tabs>
        <w:tab w:val="center" w:pos="4320"/>
        <w:tab w:val="right" w:pos="8640"/>
      </w:tabs>
    </w:pPr>
  </w:style>
  <w:style w:type="character" w:customStyle="1" w:styleId="Char0">
    <w:name w:val="页脚 Char"/>
    <w:basedOn w:val="a0"/>
    <w:link w:val="a7"/>
    <w:uiPriority w:val="99"/>
    <w:rsid w:val="003C053F"/>
  </w:style>
  <w:style w:type="character" w:styleId="a8">
    <w:name w:val="FollowedHyperlink"/>
    <w:basedOn w:val="a0"/>
    <w:uiPriority w:val="99"/>
    <w:semiHidden/>
    <w:unhideWhenUsed/>
    <w:rsid w:val="003C053F"/>
    <w:rPr>
      <w:color w:val="800080" w:themeColor="followedHyperlink"/>
      <w:u w:val="single"/>
    </w:rPr>
  </w:style>
  <w:style w:type="paragraph" w:styleId="a9">
    <w:name w:val="Normal (Web)"/>
    <w:basedOn w:val="a"/>
    <w:uiPriority w:val="99"/>
    <w:unhideWhenUsed/>
    <w:rsid w:val="00703479"/>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070">
      <w:bodyDiv w:val="1"/>
      <w:marLeft w:val="0"/>
      <w:marRight w:val="0"/>
      <w:marTop w:val="0"/>
      <w:marBottom w:val="0"/>
      <w:divBdr>
        <w:top w:val="none" w:sz="0" w:space="0" w:color="auto"/>
        <w:left w:val="none" w:sz="0" w:space="0" w:color="auto"/>
        <w:bottom w:val="none" w:sz="0" w:space="0" w:color="auto"/>
        <w:right w:val="none" w:sz="0" w:space="0" w:color="auto"/>
      </w:divBdr>
    </w:div>
    <w:div w:id="489174380">
      <w:bodyDiv w:val="1"/>
      <w:marLeft w:val="0"/>
      <w:marRight w:val="0"/>
      <w:marTop w:val="0"/>
      <w:marBottom w:val="0"/>
      <w:divBdr>
        <w:top w:val="none" w:sz="0" w:space="0" w:color="auto"/>
        <w:left w:val="none" w:sz="0" w:space="0" w:color="auto"/>
        <w:bottom w:val="none" w:sz="0" w:space="0" w:color="auto"/>
        <w:right w:val="none" w:sz="0" w:space="0" w:color="auto"/>
      </w:divBdr>
    </w:div>
    <w:div w:id="606083730">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424833762">
      <w:bodyDiv w:val="1"/>
      <w:marLeft w:val="0"/>
      <w:marRight w:val="0"/>
      <w:marTop w:val="0"/>
      <w:marBottom w:val="0"/>
      <w:divBdr>
        <w:top w:val="none" w:sz="0" w:space="0" w:color="auto"/>
        <w:left w:val="none" w:sz="0" w:space="0" w:color="auto"/>
        <w:bottom w:val="none" w:sz="0" w:space="0" w:color="auto"/>
        <w:right w:val="none" w:sz="0" w:space="0" w:color="auto"/>
      </w:divBdr>
    </w:div>
    <w:div w:id="1473788174">
      <w:bodyDiv w:val="1"/>
      <w:marLeft w:val="0"/>
      <w:marRight w:val="0"/>
      <w:marTop w:val="0"/>
      <w:marBottom w:val="0"/>
      <w:divBdr>
        <w:top w:val="none" w:sz="0" w:space="0" w:color="auto"/>
        <w:left w:val="none" w:sz="0" w:space="0" w:color="auto"/>
        <w:bottom w:val="none" w:sz="0" w:space="0" w:color="auto"/>
        <w:right w:val="none" w:sz="0" w:space="0" w:color="auto"/>
      </w:divBdr>
    </w:div>
    <w:div w:id="1559314678">
      <w:bodyDiv w:val="1"/>
      <w:marLeft w:val="0"/>
      <w:marRight w:val="0"/>
      <w:marTop w:val="0"/>
      <w:marBottom w:val="0"/>
      <w:divBdr>
        <w:top w:val="none" w:sz="0" w:space="0" w:color="auto"/>
        <w:left w:val="none" w:sz="0" w:space="0" w:color="auto"/>
        <w:bottom w:val="none" w:sz="0" w:space="0" w:color="auto"/>
        <w:right w:val="none" w:sz="0" w:space="0" w:color="auto"/>
      </w:divBdr>
    </w:div>
    <w:div w:id="1836453964">
      <w:bodyDiv w:val="1"/>
      <w:marLeft w:val="0"/>
      <w:marRight w:val="0"/>
      <w:marTop w:val="0"/>
      <w:marBottom w:val="0"/>
      <w:divBdr>
        <w:top w:val="none" w:sz="0" w:space="0" w:color="auto"/>
        <w:left w:val="none" w:sz="0" w:space="0" w:color="auto"/>
        <w:bottom w:val="none" w:sz="0" w:space="0" w:color="auto"/>
        <w:right w:val="none" w:sz="0" w:space="0" w:color="auto"/>
      </w:divBdr>
    </w:div>
    <w:div w:id="2063940697">
      <w:bodyDiv w:val="1"/>
      <w:marLeft w:val="0"/>
      <w:marRight w:val="0"/>
      <w:marTop w:val="0"/>
      <w:marBottom w:val="0"/>
      <w:divBdr>
        <w:top w:val="none" w:sz="0" w:space="0" w:color="auto"/>
        <w:left w:val="none" w:sz="0" w:space="0" w:color="auto"/>
        <w:bottom w:val="none" w:sz="0" w:space="0" w:color="auto"/>
        <w:right w:val="none" w:sz="0" w:space="0" w:color="auto"/>
      </w:divBdr>
      <w:divsChild>
        <w:div w:id="2018456123">
          <w:marLeft w:val="0"/>
          <w:marRight w:val="0"/>
          <w:marTop w:val="0"/>
          <w:marBottom w:val="0"/>
          <w:divBdr>
            <w:top w:val="none" w:sz="0" w:space="0" w:color="auto"/>
            <w:left w:val="none" w:sz="0" w:space="0" w:color="auto"/>
            <w:bottom w:val="none" w:sz="0" w:space="0" w:color="auto"/>
            <w:right w:val="none" w:sz="0" w:space="0" w:color="auto"/>
          </w:divBdr>
        </w:div>
        <w:div w:id="912279600">
          <w:marLeft w:val="0"/>
          <w:marRight w:val="0"/>
          <w:marTop w:val="0"/>
          <w:marBottom w:val="0"/>
          <w:divBdr>
            <w:top w:val="none" w:sz="0" w:space="0" w:color="auto"/>
            <w:left w:val="none" w:sz="0" w:space="0" w:color="auto"/>
            <w:bottom w:val="none" w:sz="0" w:space="0" w:color="auto"/>
            <w:right w:val="none" w:sz="0" w:space="0" w:color="auto"/>
          </w:divBdr>
        </w:div>
      </w:divsChild>
    </w:div>
    <w:div w:id="210071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1087D-F427-48CC-944C-7D9C1C07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Pages>
  <Words>5239</Words>
  <Characters>29864</Characters>
  <Application>Microsoft Office Word</Application>
  <DocSecurity>0</DocSecurity>
  <Lines>248</Lines>
  <Paragraphs>70</Paragraphs>
  <ScaleCrop>false</ScaleCrop>
  <Company>eLife</Company>
  <LinksUpToDate>false</LinksUpToDate>
  <CharactersWithSpaces>35033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Millicent McConnell</dc:creator>
  <cp:lastModifiedBy>Windows 用户</cp:lastModifiedBy>
  <cp:revision>22</cp:revision>
  <dcterms:created xsi:type="dcterms:W3CDTF">2021-01-16T09:27:00Z</dcterms:created>
  <dcterms:modified xsi:type="dcterms:W3CDTF">2021-08-09T09:17:00Z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http://www.zotero.org/styles/china-national-standard-gb-t-7714-2015-numeric</vt:lpwstr>
  </property>
  <property fmtid="{D5CDD505-2E9C-101B-9397-08002B2CF9AE}" pid="9" name="Mendeley Recent Style Name 3_1">
    <vt:lpwstr>China National Standard GB/T 7714-2015 (numeric, Chinese)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1ccebcda-2eb9-3dd2-9198-90e8741787fd</vt:lpwstr>
  </property>
  <property fmtid="{D5CDD505-2E9C-101B-9397-08002B2CF9AE}" pid="24" name="Mendeley Citation Style_1">
    <vt:lpwstr>http://www.zotero.org/styles/elife</vt:lpwstr>
  </property>
</Properties>
</file>