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E72" w:rsidRDefault="002A0E72" w:rsidP="002A0E72">
      <w:pPr>
        <w:spacing w:after="0"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Supplementary file 2</w:t>
      </w:r>
      <w:r w:rsidRPr="002F2FB6">
        <w:rPr>
          <w:rFonts w:cs="Times New Roman"/>
          <w:b/>
          <w:color w:val="000000" w:themeColor="text1"/>
        </w:rPr>
        <w:t>. Testing habitat selection of blue sharks above the eastern tropical Atlantic (ETA) OMZ</w:t>
      </w:r>
      <w:r>
        <w:rPr>
          <w:rFonts w:cs="Times New Roman"/>
          <w:color w:val="000000" w:themeColor="text1"/>
        </w:rPr>
        <w:t xml:space="preserve">. Real blue shark movements </w:t>
      </w:r>
      <w:proofErr w:type="gramStart"/>
      <w:r>
        <w:rPr>
          <w:rFonts w:cs="Times New Roman"/>
          <w:color w:val="000000" w:themeColor="text1"/>
        </w:rPr>
        <w:t>were compared</w:t>
      </w:r>
      <w:proofErr w:type="gramEnd"/>
      <w:r>
        <w:rPr>
          <w:rFonts w:cs="Times New Roman"/>
          <w:color w:val="000000" w:themeColor="text1"/>
        </w:rPr>
        <w:t xml:space="preserve"> to correlated random walk models for those sharks tagged in the Azores that encountered the ETA OMZ off western Africa. Proportion test described in </w:t>
      </w:r>
      <w:r w:rsidRPr="00A17FFC">
        <w:rPr>
          <w:rFonts w:cs="Times New Roman"/>
          <w:color w:val="000000" w:themeColor="text1"/>
        </w:rPr>
        <w:t>Jaine et al. (2014)</w:t>
      </w:r>
      <w:proofErr w:type="gramStart"/>
      <w:r>
        <w:rPr>
          <w:rFonts w:cs="Times New Roman"/>
          <w:color w:val="000000" w:themeColor="text1"/>
        </w:rPr>
        <w:t>;</w:t>
      </w:r>
      <w:proofErr w:type="gramEnd"/>
      <w:r>
        <w:rPr>
          <w:rFonts w:cs="Times New Roman"/>
          <w:color w:val="000000" w:themeColor="text1"/>
        </w:rPr>
        <w:t xml:space="preserve"> ns, denotes </w:t>
      </w:r>
      <w:r w:rsidRPr="00026E61">
        <w:rPr>
          <w:rFonts w:cs="Times New Roman"/>
          <w:color w:val="000000" w:themeColor="text1"/>
        </w:rPr>
        <w:t>non-significan</w:t>
      </w:r>
      <w:r>
        <w:rPr>
          <w:rFonts w:cs="Times New Roman"/>
          <w:color w:val="000000" w:themeColor="text1"/>
        </w:rPr>
        <w:t>ce.</w:t>
      </w:r>
    </w:p>
    <w:tbl>
      <w:tblPr>
        <w:tblStyle w:val="TableGrid"/>
        <w:tblW w:w="6048" w:type="dxa"/>
        <w:jc w:val="center"/>
        <w:tblLook w:val="04A0" w:firstRow="1" w:lastRow="0" w:firstColumn="1" w:lastColumn="0" w:noHBand="0" w:noVBand="1"/>
      </w:tblPr>
      <w:tblGrid>
        <w:gridCol w:w="872"/>
        <w:gridCol w:w="1255"/>
        <w:gridCol w:w="1417"/>
        <w:gridCol w:w="1512"/>
        <w:gridCol w:w="992"/>
      </w:tblGrid>
      <w:tr w:rsidR="002A0E72" w:rsidTr="00110DF2">
        <w:trPr>
          <w:trHeight w:val="567"/>
          <w:jc w:val="center"/>
        </w:trPr>
        <w:tc>
          <w:tcPr>
            <w:tcW w:w="872" w:type="dxa"/>
            <w:vAlign w:val="center"/>
          </w:tcPr>
          <w:p w:rsidR="002A0E72" w:rsidRPr="004E63AE" w:rsidRDefault="002A0E72" w:rsidP="00110DF2">
            <w:pPr>
              <w:spacing w:before="40" w:after="40"/>
              <w:jc w:val="both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Shark ID</w:t>
            </w:r>
          </w:p>
        </w:tc>
        <w:tc>
          <w:tcPr>
            <w:tcW w:w="1255" w:type="dxa"/>
            <w:vAlign w:val="center"/>
          </w:tcPr>
          <w:p w:rsidR="002A0E72" w:rsidRPr="004E63AE" w:rsidRDefault="002A0E72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Days 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above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1417" w:type="dxa"/>
            <w:vAlign w:val="center"/>
          </w:tcPr>
          <w:p w:rsidR="002A0E72" w:rsidRPr="004E63AE" w:rsidRDefault="002A0E72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Time 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above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 xml:space="preserve">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Z (%)</w:t>
            </w:r>
          </w:p>
        </w:tc>
        <w:tc>
          <w:tcPr>
            <w:tcW w:w="1512" w:type="dxa"/>
            <w:vAlign w:val="center"/>
          </w:tcPr>
          <w:p w:rsidR="002A0E72" w:rsidRPr="004E63AE" w:rsidRDefault="002A0E72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% times that real sharks spent ≥ time in O</w:t>
            </w:r>
            <w:r>
              <w:rPr>
                <w:rFonts w:cs="Times New Roman"/>
                <w:b/>
                <w:color w:val="000000" w:themeColor="text1"/>
                <w:sz w:val="18"/>
                <w:szCs w:val="18"/>
              </w:rPr>
              <w:t>M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Z area compared to models</w:t>
            </w:r>
          </w:p>
        </w:tc>
        <w:tc>
          <w:tcPr>
            <w:tcW w:w="992" w:type="dxa"/>
            <w:vAlign w:val="center"/>
          </w:tcPr>
          <w:p w:rsidR="002A0E72" w:rsidRPr="004E63AE" w:rsidRDefault="002A0E72" w:rsidP="00110DF2">
            <w:pPr>
              <w:spacing w:before="40" w:after="40"/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4E63AE">
              <w:rPr>
                <w:rFonts w:cs="Times New Roman"/>
                <w:b/>
                <w:i/>
                <w:color w:val="000000" w:themeColor="text1"/>
                <w:sz w:val="18"/>
                <w:szCs w:val="18"/>
              </w:rPr>
              <w:t>p</w:t>
            </w:r>
            <w:r w:rsidRPr="004E63AE">
              <w:rPr>
                <w:rFonts w:cs="Times New Roman"/>
                <w:b/>
                <w:color w:val="000000" w:themeColor="text1"/>
                <w:sz w:val="18"/>
                <w:szCs w:val="18"/>
              </w:rPr>
              <w:t>-value</w:t>
            </w:r>
          </w:p>
        </w:tc>
      </w:tr>
      <w:tr w:rsidR="002A0E72" w:rsidTr="00110DF2">
        <w:trPr>
          <w:trHeight w:val="313"/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40.7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S13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46.3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S17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15.9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S19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25.1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37.6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S23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84.9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S24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S25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S26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29.8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S27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100.0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S28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22.0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S29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17.6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S30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59.6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S31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7.8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  <w:tr w:rsidR="002A0E72" w:rsidTr="00110DF2">
        <w:trPr>
          <w:jc w:val="center"/>
        </w:trPr>
        <w:tc>
          <w:tcPr>
            <w:tcW w:w="87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S32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10.5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2A0E72" w:rsidRPr="00F117FF" w:rsidRDefault="002A0E72" w:rsidP="00110DF2">
            <w:pPr>
              <w:spacing w:before="40" w:after="40" w:line="360" w:lineRule="auto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A0E72" w:rsidRPr="00F117FF" w:rsidRDefault="002A0E72" w:rsidP="00110DF2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117FF">
              <w:rPr>
                <w:rFonts w:cs="Times New Roman"/>
                <w:color w:val="000000" w:themeColor="text1"/>
                <w:sz w:val="20"/>
                <w:szCs w:val="20"/>
              </w:rPr>
              <w:t>ns</w:t>
            </w:r>
          </w:p>
        </w:tc>
      </w:tr>
    </w:tbl>
    <w:p w:rsidR="002A0E72" w:rsidRDefault="002A0E72" w:rsidP="002A0E72">
      <w:pPr>
        <w:spacing w:line="360" w:lineRule="auto"/>
        <w:jc w:val="both"/>
        <w:rPr>
          <w:rFonts w:cs="Times New Roman"/>
          <w:b/>
          <w:color w:val="000000" w:themeColor="text1"/>
        </w:rPr>
      </w:pPr>
    </w:p>
    <w:p w:rsidR="00297707" w:rsidRDefault="002A0E72">
      <w:bookmarkStart w:id="0" w:name="_GoBack"/>
      <w:bookmarkEnd w:id="0"/>
    </w:p>
    <w:sectPr w:rsidR="00297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E72"/>
    <w:rsid w:val="002A0E72"/>
    <w:rsid w:val="003C5F2A"/>
    <w:rsid w:val="00E5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5344E-B6BA-41E1-9935-0528EAB3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E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Sims</dc:creator>
  <cp:keywords/>
  <dc:description/>
  <cp:lastModifiedBy>David Sims</cp:lastModifiedBy>
  <cp:revision>1</cp:revision>
  <dcterms:created xsi:type="dcterms:W3CDTF">2020-12-15T10:32:00Z</dcterms:created>
  <dcterms:modified xsi:type="dcterms:W3CDTF">2020-12-15T10:33:00Z</dcterms:modified>
</cp:coreProperties>
</file>