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1: Data collection parameters for cryoEM structure of MlaFEDB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4170"/>
        <w:tblGridChange w:id="0">
          <w:tblGrid>
            <w:gridCol w:w="5175"/>
            <w:gridCol w:w="4170"/>
          </w:tblGrid>
        </w:tblGridChange>
      </w:tblGrid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microscope: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Titan Krios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electron energy (kV):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defocus range (Å):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-1500 to -3500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pixel size in super-resolution mode (Å):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0.416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total electron dose (e-/Å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number of frames in each movie: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frame rate (ms):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number of movies acquired: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3212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number of particles picked: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1,283,606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number of particles selected after 2D classification: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731,205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pixel dimension of individual windows: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300x300 (initial rounds)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500x500 (final model)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AlPEEsTTIPIBbGwhxk7NskObA==">AMUW2mU4rHMb3ckg5kpWnKORb47Gp82YMUQQvgtTQC3JUG6Ns7EyCCPb6xC1YSQZBq4QlMEwdhI0bNICpeRkhrd1XRWvciXtZWyjTifq82NyDtIMntsmoDY=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