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D11D1" w14:textId="433CD6F1" w:rsidR="004849BC" w:rsidRDefault="004849BC" w:rsidP="004849BC">
      <w:pPr>
        <w:jc w:val="center"/>
      </w:pPr>
      <w:r>
        <w:rPr>
          <w:noProof/>
        </w:rPr>
        <w:drawing>
          <wp:inline distT="0" distB="0" distL="0" distR="0" wp14:anchorId="5C9AB887" wp14:editId="5E963359">
            <wp:extent cx="3175000" cy="393700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EADD3" w14:textId="75B10F06" w:rsidR="004849BC" w:rsidRPr="004849BC" w:rsidRDefault="004849BC" w:rsidP="004849BC">
      <w:pPr>
        <w:jc w:val="both"/>
        <w:rPr>
          <w:rFonts w:ascii="Arial" w:hAnsi="Arial" w:cs="Arial"/>
        </w:rPr>
      </w:pPr>
      <w:r w:rsidRPr="004849BC">
        <w:rPr>
          <w:rFonts w:ascii="Arial" w:hAnsi="Arial" w:cs="Arial"/>
          <w:b/>
          <w:bCs/>
        </w:rPr>
        <w:t xml:space="preserve">Figure 4-source data 5. </w:t>
      </w:r>
      <w:r>
        <w:rPr>
          <w:rFonts w:ascii="Arial" w:hAnsi="Arial" w:cs="Arial"/>
          <w:b/>
          <w:bCs/>
        </w:rPr>
        <w:t xml:space="preserve">Morphology and fluorescence microscopy of Kc167 cells used in Figure 4. (A) </w:t>
      </w:r>
      <w:r w:rsidRPr="004849BC">
        <w:rPr>
          <w:rFonts w:ascii="Arial" w:hAnsi="Arial" w:cs="Arial"/>
        </w:rPr>
        <w:t xml:space="preserve">Bright field image of the cultured Kc167 cells used for characterization of </w:t>
      </w:r>
      <w:proofErr w:type="spellStart"/>
      <w:r w:rsidRPr="004849BC">
        <w:rPr>
          <w:rFonts w:ascii="Arial" w:hAnsi="Arial" w:cs="Arial"/>
        </w:rPr>
        <w:t>Chinmo</w:t>
      </w:r>
      <w:proofErr w:type="spellEnd"/>
      <w:r w:rsidRPr="004849BC">
        <w:rPr>
          <w:rFonts w:ascii="Arial" w:hAnsi="Arial" w:cs="Arial"/>
        </w:rPr>
        <w:t xml:space="preserve"> mutant constructs.  </w:t>
      </w:r>
      <w:r>
        <w:rPr>
          <w:rFonts w:ascii="Arial" w:hAnsi="Arial" w:cs="Arial"/>
        </w:rPr>
        <w:t xml:space="preserve">(B) Fluorescent microscopy of fixed Kc167 cells stained with </w:t>
      </w:r>
      <w:proofErr w:type="spellStart"/>
      <w:r>
        <w:rPr>
          <w:rFonts w:ascii="Arial" w:hAnsi="Arial" w:cs="Arial"/>
        </w:rPr>
        <w:t>Dapi</w:t>
      </w:r>
      <w:proofErr w:type="spellEnd"/>
      <w:r>
        <w:rPr>
          <w:rFonts w:ascii="Arial" w:hAnsi="Arial" w:cs="Arial"/>
        </w:rPr>
        <w:t xml:space="preserve">. No specks of fluorescent signal were obtained in spaces surrounding the cell indicating that Mycoplasma contamination was absent from the culture. </w:t>
      </w:r>
    </w:p>
    <w:sectPr w:rsidR="004849BC" w:rsidRPr="004849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BC"/>
    <w:rsid w:val="004849BC"/>
    <w:rsid w:val="00BA2A7D"/>
    <w:rsid w:val="00D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D5ED8"/>
  <w15:chartTrackingRefBased/>
  <w15:docId w15:val="{705C667D-DC24-5546-9FB8-40E233E8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2021-05-25T14:22:00Z</dcterms:created>
  <dcterms:modified xsi:type="dcterms:W3CDTF">2021-05-25T14:32:00Z</dcterms:modified>
</cp:coreProperties>
</file>