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507" w:rsidRDefault="00EF2507" w:rsidP="00351643">
      <w:pPr>
        <w:jc w:val="both"/>
        <w:rPr>
          <w:rFonts w:ascii="Times New Roman" w:hAnsi="Times New Roman" w:cs="Times New Roman"/>
          <w:b/>
        </w:rPr>
      </w:pPr>
      <w:r w:rsidRPr="00EF2507">
        <w:rPr>
          <w:rFonts w:ascii="Times New Roman" w:hAnsi="Times New Roman" w:cs="Times New Roman"/>
          <w:b/>
        </w:rPr>
        <w:t>Table S1. Strains used in this study.</w:t>
      </w:r>
    </w:p>
    <w:tbl>
      <w:tblPr>
        <w:tblW w:w="9520" w:type="dxa"/>
        <w:tblLayout w:type="fixed"/>
        <w:tblCellMar>
          <w:left w:w="99" w:type="dxa"/>
          <w:right w:w="99" w:type="dxa"/>
        </w:tblCellMar>
        <w:tblLook w:val="04A0" w:firstRow="1" w:lastRow="0" w:firstColumn="1" w:lastColumn="0" w:noHBand="0" w:noVBand="1"/>
      </w:tblPr>
      <w:tblGrid>
        <w:gridCol w:w="1343"/>
        <w:gridCol w:w="1692"/>
        <w:gridCol w:w="1527"/>
        <w:gridCol w:w="2951"/>
        <w:gridCol w:w="2007"/>
      </w:tblGrid>
      <w:tr w:rsidR="00FE62A1" w:rsidRPr="00EF2507" w:rsidTr="00402577">
        <w:trPr>
          <w:trHeight w:hRule="exact" w:val="397"/>
        </w:trPr>
        <w:tc>
          <w:tcPr>
            <w:tcW w:w="3035" w:type="dxa"/>
            <w:gridSpan w:val="2"/>
            <w:tcBorders>
              <w:top w:val="nil"/>
              <w:left w:val="nil"/>
              <w:bottom w:val="nil"/>
              <w:right w:val="nil"/>
            </w:tcBorders>
            <w:shd w:val="clear" w:color="auto" w:fill="auto"/>
            <w:noWrap/>
            <w:tcMar>
              <w:left w:w="0" w:type="dxa"/>
              <w:right w:w="0" w:type="dxa"/>
            </w:tcMar>
            <w:vAlign w:val="bottom"/>
            <w:hideMark/>
          </w:tcPr>
          <w:p w:rsidR="00FE62A1" w:rsidRPr="00EF2507" w:rsidRDefault="00FE62A1" w:rsidP="007A7DF1">
            <w:pPr>
              <w:rPr>
                <w:rFonts w:ascii="Times New Roman" w:hAnsi="Times New Roman" w:cs="Times New Roman"/>
                <w:sz w:val="20"/>
                <w:szCs w:val="20"/>
              </w:rPr>
            </w:pPr>
            <w:r w:rsidRPr="00EF2507">
              <w:rPr>
                <w:rFonts w:ascii="Times New Roman" w:hAnsi="Times New Roman" w:cs="Times New Roman"/>
                <w:sz w:val="20"/>
                <w:szCs w:val="20"/>
              </w:rPr>
              <w:t>(</w:t>
            </w:r>
            <w:r w:rsidRPr="00EF2507">
              <w:rPr>
                <w:rFonts w:ascii="Times New Roman" w:hAnsi="Times New Roman" w:cs="Times New Roman"/>
                <w:b/>
                <w:bCs/>
                <w:sz w:val="20"/>
                <w:szCs w:val="20"/>
              </w:rPr>
              <w:t>A</w:t>
            </w:r>
            <w:r w:rsidRPr="00EF2507">
              <w:rPr>
                <w:rFonts w:ascii="Times New Roman" w:hAnsi="Times New Roman" w:cs="Times New Roman"/>
                <w:sz w:val="20"/>
                <w:szCs w:val="20"/>
              </w:rPr>
              <w:t xml:space="preserve">) </w:t>
            </w:r>
            <w:r w:rsidRPr="00EF2507">
              <w:rPr>
                <w:rFonts w:ascii="Times New Roman" w:hAnsi="Times New Roman" w:cs="Times New Roman"/>
                <w:i/>
                <w:iCs/>
                <w:sz w:val="20"/>
                <w:szCs w:val="20"/>
              </w:rPr>
              <w:t>E. coli</w:t>
            </w:r>
            <w:r w:rsidRPr="00EF2507">
              <w:rPr>
                <w:rFonts w:ascii="Times New Roman" w:hAnsi="Times New Roman" w:cs="Times New Roman"/>
                <w:sz w:val="20"/>
                <w:szCs w:val="20"/>
              </w:rPr>
              <w:t xml:space="preserve"> strains</w:t>
            </w:r>
          </w:p>
        </w:tc>
        <w:tc>
          <w:tcPr>
            <w:tcW w:w="1527" w:type="dxa"/>
            <w:tcBorders>
              <w:top w:val="nil"/>
              <w:left w:val="nil"/>
              <w:bottom w:val="nil"/>
              <w:right w:val="nil"/>
            </w:tcBorders>
            <w:shd w:val="clear" w:color="auto" w:fill="auto"/>
            <w:noWrap/>
            <w:tcMar>
              <w:left w:w="0" w:type="dxa"/>
              <w:right w:w="0" w:type="dxa"/>
            </w:tcMar>
            <w:vAlign w:val="bottom"/>
            <w:hideMark/>
          </w:tcPr>
          <w:p w:rsidR="00FE62A1" w:rsidRPr="00EF2507" w:rsidRDefault="00FE62A1" w:rsidP="007A7DF1">
            <w:pPr>
              <w:rPr>
                <w:rFonts w:ascii="Times New Roman" w:hAnsi="Times New Roman" w:cs="Times New Roman"/>
                <w:sz w:val="20"/>
                <w:szCs w:val="20"/>
              </w:rPr>
            </w:pPr>
          </w:p>
        </w:tc>
        <w:tc>
          <w:tcPr>
            <w:tcW w:w="2951" w:type="dxa"/>
            <w:tcBorders>
              <w:top w:val="nil"/>
              <w:left w:val="nil"/>
              <w:bottom w:val="nil"/>
              <w:right w:val="nil"/>
            </w:tcBorders>
            <w:shd w:val="clear" w:color="auto" w:fill="auto"/>
            <w:noWrap/>
            <w:tcMar>
              <w:left w:w="0" w:type="dxa"/>
              <w:right w:w="0" w:type="dxa"/>
            </w:tcMar>
            <w:vAlign w:val="bottom"/>
            <w:hideMark/>
          </w:tcPr>
          <w:p w:rsidR="00FE62A1" w:rsidRPr="00EF2507" w:rsidRDefault="00FE62A1" w:rsidP="007A7DF1">
            <w:pPr>
              <w:rPr>
                <w:rFonts w:ascii="Times New Roman" w:eastAsia="Times New Roman" w:hAnsi="Times New Roman" w:cs="Times New Roman"/>
                <w:sz w:val="20"/>
                <w:szCs w:val="20"/>
              </w:rPr>
            </w:pPr>
          </w:p>
        </w:tc>
        <w:tc>
          <w:tcPr>
            <w:tcW w:w="2007" w:type="dxa"/>
            <w:tcBorders>
              <w:top w:val="nil"/>
              <w:left w:val="nil"/>
              <w:bottom w:val="nil"/>
              <w:right w:val="nil"/>
            </w:tcBorders>
            <w:shd w:val="clear" w:color="auto" w:fill="auto"/>
            <w:noWrap/>
            <w:tcMar>
              <w:left w:w="0" w:type="dxa"/>
              <w:right w:w="0" w:type="dxa"/>
            </w:tcMar>
            <w:vAlign w:val="bottom"/>
            <w:hideMark/>
          </w:tcPr>
          <w:p w:rsidR="00FE62A1" w:rsidRPr="00EF2507" w:rsidRDefault="00FE62A1" w:rsidP="007A7DF1">
            <w:pPr>
              <w:rPr>
                <w:rFonts w:ascii="Times New Roman" w:eastAsia="Times New Roman" w:hAnsi="Times New Roman" w:cs="Times New Roman"/>
                <w:sz w:val="20"/>
                <w:szCs w:val="20"/>
              </w:rPr>
            </w:pPr>
          </w:p>
        </w:tc>
      </w:tr>
      <w:tr w:rsidR="00FE62A1" w:rsidRPr="00CD30FA" w:rsidTr="00402577">
        <w:trPr>
          <w:trHeight w:hRule="exact" w:val="227"/>
        </w:trPr>
        <w:tc>
          <w:tcPr>
            <w:tcW w:w="1343" w:type="dxa"/>
            <w:tcBorders>
              <w:top w:val="single" w:sz="4" w:space="0" w:color="auto"/>
              <w:left w:val="nil"/>
              <w:bottom w:val="single" w:sz="8" w:space="0" w:color="auto"/>
              <w:right w:val="nil"/>
            </w:tcBorders>
            <w:shd w:val="clear" w:color="auto" w:fill="auto"/>
            <w:noWrap/>
            <w:tcMar>
              <w:left w:w="0" w:type="dxa"/>
              <w:right w:w="0" w:type="dxa"/>
            </w:tcMar>
            <w:vAlign w:val="bottom"/>
            <w:hideMark/>
          </w:tcPr>
          <w:p w:rsidR="00FE62A1" w:rsidRPr="00CD30FA" w:rsidRDefault="00FE62A1"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t>Strain</w:t>
            </w:r>
          </w:p>
        </w:tc>
        <w:tc>
          <w:tcPr>
            <w:tcW w:w="1692" w:type="dxa"/>
            <w:tcBorders>
              <w:top w:val="single" w:sz="4" w:space="0" w:color="auto"/>
              <w:left w:val="nil"/>
              <w:bottom w:val="single" w:sz="8" w:space="0" w:color="auto"/>
              <w:right w:val="nil"/>
            </w:tcBorders>
            <w:shd w:val="clear" w:color="auto" w:fill="auto"/>
            <w:noWrap/>
            <w:tcMar>
              <w:left w:w="0" w:type="dxa"/>
              <w:right w:w="0" w:type="dxa"/>
            </w:tcMar>
            <w:vAlign w:val="bottom"/>
            <w:hideMark/>
          </w:tcPr>
          <w:p w:rsidR="00FE62A1" w:rsidRPr="00CD30FA" w:rsidRDefault="00FE62A1"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t>Genotype</w:t>
            </w:r>
          </w:p>
        </w:tc>
        <w:tc>
          <w:tcPr>
            <w:tcW w:w="1527" w:type="dxa"/>
            <w:tcBorders>
              <w:top w:val="single" w:sz="4" w:space="0" w:color="auto"/>
              <w:left w:val="nil"/>
              <w:bottom w:val="single" w:sz="8" w:space="0" w:color="auto"/>
              <w:right w:val="nil"/>
            </w:tcBorders>
            <w:shd w:val="clear" w:color="auto" w:fill="auto"/>
            <w:noWrap/>
            <w:tcMar>
              <w:left w:w="0" w:type="dxa"/>
              <w:right w:w="0" w:type="dxa"/>
            </w:tcMar>
            <w:vAlign w:val="bottom"/>
            <w:hideMark/>
          </w:tcPr>
          <w:p w:rsidR="00FE62A1" w:rsidRPr="00CD30FA" w:rsidRDefault="00FE62A1"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t xml:space="preserve">　</w:t>
            </w:r>
          </w:p>
        </w:tc>
        <w:tc>
          <w:tcPr>
            <w:tcW w:w="2951" w:type="dxa"/>
            <w:tcBorders>
              <w:top w:val="single" w:sz="4" w:space="0" w:color="auto"/>
              <w:left w:val="nil"/>
              <w:bottom w:val="single" w:sz="8" w:space="0" w:color="auto"/>
              <w:right w:val="nil"/>
            </w:tcBorders>
            <w:shd w:val="clear" w:color="auto" w:fill="auto"/>
            <w:noWrap/>
            <w:tcMar>
              <w:left w:w="0" w:type="dxa"/>
              <w:right w:w="0" w:type="dxa"/>
            </w:tcMar>
            <w:vAlign w:val="bottom"/>
            <w:hideMark/>
          </w:tcPr>
          <w:p w:rsidR="00FE62A1" w:rsidRPr="00CD30FA" w:rsidRDefault="00FE62A1"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t xml:space="preserve">　</w:t>
            </w:r>
          </w:p>
        </w:tc>
        <w:tc>
          <w:tcPr>
            <w:tcW w:w="2007" w:type="dxa"/>
            <w:tcBorders>
              <w:top w:val="single" w:sz="4" w:space="0" w:color="auto"/>
              <w:left w:val="nil"/>
              <w:bottom w:val="single" w:sz="8" w:space="0" w:color="auto"/>
              <w:right w:val="nil"/>
            </w:tcBorders>
            <w:shd w:val="clear" w:color="auto" w:fill="auto"/>
            <w:noWrap/>
            <w:tcMar>
              <w:left w:w="0" w:type="dxa"/>
              <w:right w:w="0" w:type="dxa"/>
            </w:tcMar>
            <w:vAlign w:val="bottom"/>
            <w:hideMark/>
          </w:tcPr>
          <w:p w:rsidR="00FE62A1" w:rsidRPr="00CD30FA" w:rsidRDefault="00FE62A1"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t>Reference</w:t>
            </w:r>
          </w:p>
        </w:tc>
      </w:tr>
      <w:tr w:rsidR="00DC68A1" w:rsidRPr="00CD30FA" w:rsidTr="00402577">
        <w:trPr>
          <w:trHeight w:hRule="exact" w:val="227"/>
        </w:trPr>
        <w:tc>
          <w:tcPr>
            <w:tcW w:w="1343" w:type="dxa"/>
            <w:tcBorders>
              <w:top w:val="nil"/>
              <w:left w:val="nil"/>
              <w:right w:val="nil"/>
            </w:tcBorders>
            <w:shd w:val="clear" w:color="auto" w:fill="auto"/>
            <w:noWrap/>
            <w:tcMar>
              <w:left w:w="0" w:type="dxa"/>
              <w:right w:w="0" w:type="dxa"/>
            </w:tcMar>
            <w:vAlign w:val="bottom"/>
            <w:hideMark/>
          </w:tcPr>
          <w:p w:rsidR="00DC68A1" w:rsidRPr="00CD30FA" w:rsidRDefault="00DC68A1"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t>MC4100</w:t>
            </w:r>
          </w:p>
        </w:tc>
        <w:tc>
          <w:tcPr>
            <w:tcW w:w="6170" w:type="dxa"/>
            <w:gridSpan w:val="3"/>
            <w:tcBorders>
              <w:top w:val="single" w:sz="8" w:space="0" w:color="auto"/>
              <w:left w:val="nil"/>
              <w:right w:val="nil"/>
            </w:tcBorders>
            <w:shd w:val="clear" w:color="auto" w:fill="auto"/>
            <w:tcMar>
              <w:left w:w="0" w:type="dxa"/>
              <w:right w:w="0" w:type="dxa"/>
            </w:tcMar>
            <w:vAlign w:val="bottom"/>
            <w:hideMark/>
          </w:tcPr>
          <w:p w:rsidR="00DC68A1" w:rsidRPr="00CD30FA" w:rsidRDefault="00DC68A1"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t>F</w:t>
            </w:r>
            <w:r w:rsidRPr="00CD30FA">
              <w:rPr>
                <w:rFonts w:ascii="Times New Roman" w:hAnsi="Times New Roman" w:cs="Times New Roman"/>
                <w:sz w:val="16"/>
                <w:szCs w:val="16"/>
                <w:vertAlign w:val="superscript"/>
              </w:rPr>
              <w:t>-</w:t>
            </w:r>
            <w:r w:rsidRPr="00CD30FA">
              <w:rPr>
                <w:rFonts w:ascii="Times New Roman" w:hAnsi="Times New Roman" w:cs="Times New Roman"/>
                <w:i/>
                <w:iCs/>
                <w:sz w:val="16"/>
                <w:szCs w:val="16"/>
              </w:rPr>
              <w:t xml:space="preserve"> araD139</w:t>
            </w:r>
            <w:r w:rsidRPr="00CD30FA">
              <w:rPr>
                <w:rFonts w:ascii="Times New Roman" w:hAnsi="Times New Roman" w:cs="Times New Roman"/>
                <w:sz w:val="16"/>
                <w:szCs w:val="16"/>
              </w:rPr>
              <w:t xml:space="preserve"> </w:t>
            </w:r>
            <w:r w:rsidRPr="00CD30FA">
              <w:rPr>
                <w:rFonts w:ascii="Symbol" w:hAnsi="Symbol" w:cs="Times New Roman"/>
                <w:sz w:val="16"/>
                <w:szCs w:val="16"/>
              </w:rPr>
              <w:t></w:t>
            </w:r>
            <w:r w:rsidRPr="00CD30FA">
              <w:rPr>
                <w:rFonts w:ascii="Times New Roman" w:hAnsi="Times New Roman" w:cs="Times New Roman"/>
                <w:i/>
                <w:iCs/>
                <w:sz w:val="16"/>
                <w:szCs w:val="16"/>
              </w:rPr>
              <w:t>(</w:t>
            </w:r>
            <w:proofErr w:type="spellStart"/>
            <w:r w:rsidRPr="00CD30FA">
              <w:rPr>
                <w:rFonts w:ascii="Times New Roman" w:hAnsi="Times New Roman" w:cs="Times New Roman"/>
                <w:i/>
                <w:iCs/>
                <w:sz w:val="16"/>
                <w:szCs w:val="16"/>
              </w:rPr>
              <w:t>argF</w:t>
            </w:r>
            <w:proofErr w:type="spellEnd"/>
            <w:r w:rsidRPr="00CD30FA">
              <w:rPr>
                <w:rFonts w:ascii="Times New Roman" w:hAnsi="Times New Roman" w:cs="Times New Roman"/>
                <w:i/>
                <w:iCs/>
                <w:sz w:val="16"/>
                <w:szCs w:val="16"/>
              </w:rPr>
              <w:t>-</w:t>
            </w:r>
            <w:proofErr w:type="gramStart"/>
            <w:r w:rsidRPr="00CD30FA">
              <w:rPr>
                <w:rFonts w:ascii="Times New Roman" w:hAnsi="Times New Roman" w:cs="Times New Roman"/>
                <w:i/>
                <w:iCs/>
                <w:sz w:val="16"/>
                <w:szCs w:val="16"/>
              </w:rPr>
              <w:t>lac)U</w:t>
            </w:r>
            <w:proofErr w:type="gramEnd"/>
            <w:r w:rsidRPr="00CD30FA">
              <w:rPr>
                <w:rFonts w:ascii="Times New Roman" w:hAnsi="Times New Roman" w:cs="Times New Roman"/>
                <w:i/>
                <w:iCs/>
                <w:sz w:val="16"/>
                <w:szCs w:val="16"/>
              </w:rPr>
              <w:t xml:space="preserve">169 rpsL150 relA1 flbB5301 deoC1 ptsF25 </w:t>
            </w:r>
            <w:proofErr w:type="spellStart"/>
            <w:r w:rsidRPr="00CD30FA">
              <w:rPr>
                <w:rFonts w:ascii="Times New Roman" w:hAnsi="Times New Roman" w:cs="Times New Roman"/>
                <w:i/>
                <w:iCs/>
                <w:sz w:val="16"/>
                <w:szCs w:val="16"/>
              </w:rPr>
              <w:t>rbsR</w:t>
            </w:r>
            <w:proofErr w:type="spellEnd"/>
          </w:p>
        </w:tc>
        <w:tc>
          <w:tcPr>
            <w:tcW w:w="2007" w:type="dxa"/>
            <w:tcBorders>
              <w:top w:val="nil"/>
              <w:left w:val="nil"/>
              <w:right w:val="nil"/>
            </w:tcBorders>
            <w:shd w:val="clear" w:color="auto" w:fill="auto"/>
            <w:noWrap/>
            <w:tcMar>
              <w:left w:w="0" w:type="dxa"/>
              <w:right w:w="0" w:type="dxa"/>
            </w:tcMar>
            <w:vAlign w:val="bottom"/>
            <w:hideMark/>
          </w:tcPr>
          <w:p w:rsidR="00DC68A1" w:rsidRPr="00CD30FA" w:rsidRDefault="00DC68A1"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fldChar w:fldCharType="begin" w:fldLock="1"/>
            </w:r>
            <w:r w:rsidR="00B66649">
              <w:rPr>
                <w:rFonts w:ascii="Times New Roman" w:hAnsi="Times New Roman" w:cs="Times New Roman"/>
                <w:sz w:val="16"/>
                <w:szCs w:val="16"/>
              </w:rPr>
              <w:instrText>ADDIN CSL_CITATION {"citationItems":[{"id":"ITEM-1","itemData":{"editor":[{"dropping-particle":"","family":"Silhavy","given":"Thomas J.","non-dropping-particle":"","parse-names":false,"suffix":""},{"dropping-particle":"","family":"Berman","given":"Michael L.","non-dropping-particle":"","parse-names":false,"suffix":""},{"dropping-particle":"","family":"Enquist","given":"L. W.","non-dropping-particle":"","parse-names":false,"suffix":""}],"id":"ITEM-1","issued":{"date-parts":[["1984"]]},"publisher":"Cold Spring Harbor Laboratory Press","publisher-place":"New York","title":"Experiments With Gene Fusions","type":"book"},"uris":["http://www.mendeley.com/documents/?uuid=45e5d3a0-fdb3-4464-93e2-73887c74dadb"]}],"mendeley":{"formattedCitation":"(Silhavy et al., 1984)","plainTextFormattedCitation":"(Silhavy et al., 1984)","previouslyFormattedCitation":"(Silhavy et al., 1984)"},"properties":{"noteIndex":0},"schema":"https://github.com/citation-style-language/schema/raw/master/csl-citation.json"}</w:instrText>
            </w:r>
            <w:r w:rsidRPr="00CD30FA">
              <w:rPr>
                <w:rFonts w:ascii="Times New Roman" w:hAnsi="Times New Roman" w:cs="Times New Roman"/>
                <w:sz w:val="16"/>
                <w:szCs w:val="16"/>
              </w:rPr>
              <w:fldChar w:fldCharType="separate"/>
            </w:r>
            <w:r w:rsidR="00B66649" w:rsidRPr="00B66649">
              <w:rPr>
                <w:rFonts w:ascii="Times New Roman" w:hAnsi="Times New Roman" w:cs="Times New Roman"/>
                <w:noProof/>
                <w:sz w:val="16"/>
                <w:szCs w:val="16"/>
              </w:rPr>
              <w:t>(Silhavy et al., 1984)</w:t>
            </w:r>
            <w:r w:rsidRPr="00CD30FA">
              <w:rPr>
                <w:rFonts w:ascii="Times New Roman" w:hAnsi="Times New Roman" w:cs="Times New Roman"/>
                <w:sz w:val="16"/>
                <w:szCs w:val="16"/>
              </w:rPr>
              <w:fldChar w:fldCharType="end"/>
            </w:r>
          </w:p>
        </w:tc>
      </w:tr>
      <w:tr w:rsidR="00FE62A1" w:rsidRPr="00CD30FA" w:rsidTr="00402577">
        <w:trPr>
          <w:trHeight w:hRule="exact" w:val="227"/>
        </w:trPr>
        <w:tc>
          <w:tcPr>
            <w:tcW w:w="1343" w:type="dxa"/>
            <w:tcBorders>
              <w:top w:val="nil"/>
              <w:left w:val="nil"/>
              <w:bottom w:val="nil"/>
              <w:right w:val="nil"/>
            </w:tcBorders>
            <w:shd w:val="clear" w:color="auto" w:fill="auto"/>
            <w:noWrap/>
            <w:tcMar>
              <w:left w:w="0" w:type="dxa"/>
              <w:right w:w="0" w:type="dxa"/>
            </w:tcMar>
            <w:vAlign w:val="bottom"/>
            <w:hideMark/>
          </w:tcPr>
          <w:p w:rsidR="00FE62A1" w:rsidRPr="00CD30FA" w:rsidRDefault="00FE62A1"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t>CU141</w:t>
            </w:r>
          </w:p>
        </w:tc>
        <w:tc>
          <w:tcPr>
            <w:tcW w:w="3219" w:type="dxa"/>
            <w:gridSpan w:val="2"/>
            <w:tcBorders>
              <w:top w:val="nil"/>
              <w:left w:val="nil"/>
              <w:bottom w:val="nil"/>
              <w:right w:val="nil"/>
            </w:tcBorders>
            <w:shd w:val="clear" w:color="auto" w:fill="auto"/>
            <w:noWrap/>
            <w:tcMar>
              <w:left w:w="0" w:type="dxa"/>
              <w:right w:w="0" w:type="dxa"/>
            </w:tcMar>
            <w:vAlign w:val="bottom"/>
            <w:hideMark/>
          </w:tcPr>
          <w:p w:rsidR="00FE62A1" w:rsidRPr="00CD30FA" w:rsidRDefault="00FE62A1"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t xml:space="preserve">MC4100/F' </w:t>
            </w:r>
            <w:proofErr w:type="spellStart"/>
            <w:r w:rsidRPr="00CD30FA">
              <w:rPr>
                <w:rFonts w:ascii="Times New Roman" w:hAnsi="Times New Roman" w:cs="Times New Roman"/>
                <w:i/>
                <w:iCs/>
                <w:sz w:val="16"/>
                <w:szCs w:val="16"/>
              </w:rPr>
              <w:t>lacI</w:t>
            </w:r>
            <w:r w:rsidRPr="00CD30FA">
              <w:rPr>
                <w:rFonts w:ascii="Times New Roman" w:hAnsi="Times New Roman" w:cs="Times New Roman"/>
                <w:sz w:val="16"/>
                <w:szCs w:val="16"/>
                <w:vertAlign w:val="superscript"/>
              </w:rPr>
              <w:t>q</w:t>
            </w:r>
            <w:proofErr w:type="spellEnd"/>
            <w:r w:rsidRPr="00CD30FA">
              <w:rPr>
                <w:rFonts w:ascii="Times New Roman" w:hAnsi="Times New Roman" w:cs="Times New Roman"/>
                <w:sz w:val="16"/>
                <w:szCs w:val="16"/>
              </w:rPr>
              <w:t xml:space="preserve"> </w:t>
            </w:r>
            <w:r w:rsidRPr="00CD30FA">
              <w:rPr>
                <w:rFonts w:ascii="Times New Roman" w:hAnsi="Times New Roman" w:cs="Times New Roman"/>
                <w:i/>
                <w:iCs/>
                <w:sz w:val="16"/>
                <w:szCs w:val="16"/>
              </w:rPr>
              <w:t>lacZ</w:t>
            </w:r>
            <w:r w:rsidRPr="00CD30FA">
              <w:rPr>
                <w:rFonts w:ascii="Times New Roman" w:hAnsi="Times New Roman" w:cs="Times New Roman"/>
                <w:sz w:val="16"/>
                <w:szCs w:val="16"/>
                <w:vertAlign w:val="superscript"/>
              </w:rPr>
              <w:t>+</w:t>
            </w:r>
            <w:r w:rsidRPr="00CD30FA">
              <w:rPr>
                <w:rFonts w:ascii="Times New Roman" w:hAnsi="Times New Roman" w:cs="Times New Roman"/>
                <w:sz w:val="16"/>
                <w:szCs w:val="16"/>
              </w:rPr>
              <w:t xml:space="preserve">, </w:t>
            </w:r>
            <w:r w:rsidRPr="00CD30FA">
              <w:rPr>
                <w:rFonts w:ascii="Times New Roman" w:hAnsi="Times New Roman" w:cs="Times New Roman"/>
                <w:i/>
                <w:iCs/>
                <w:sz w:val="16"/>
                <w:szCs w:val="16"/>
              </w:rPr>
              <w:t>Y</w:t>
            </w:r>
            <w:r w:rsidRPr="00CD30FA">
              <w:rPr>
                <w:rFonts w:ascii="Times New Roman" w:hAnsi="Times New Roman" w:cs="Times New Roman"/>
                <w:sz w:val="16"/>
                <w:szCs w:val="16"/>
                <w:vertAlign w:val="superscript"/>
              </w:rPr>
              <w:t>+</w:t>
            </w:r>
            <w:r w:rsidRPr="00CD30FA">
              <w:rPr>
                <w:rFonts w:ascii="Times New Roman" w:hAnsi="Times New Roman" w:cs="Times New Roman"/>
                <w:sz w:val="16"/>
                <w:szCs w:val="16"/>
              </w:rPr>
              <w:t xml:space="preserve">, </w:t>
            </w:r>
            <w:r w:rsidRPr="00CD30FA">
              <w:rPr>
                <w:rFonts w:ascii="Times New Roman" w:hAnsi="Times New Roman" w:cs="Times New Roman"/>
                <w:i/>
                <w:iCs/>
                <w:sz w:val="16"/>
                <w:szCs w:val="16"/>
              </w:rPr>
              <w:t>A</w:t>
            </w:r>
            <w:r w:rsidRPr="00CD30FA">
              <w:rPr>
                <w:rFonts w:ascii="Times New Roman" w:hAnsi="Times New Roman" w:cs="Times New Roman"/>
                <w:sz w:val="16"/>
                <w:szCs w:val="16"/>
                <w:vertAlign w:val="superscript"/>
              </w:rPr>
              <w:t>+</w:t>
            </w:r>
          </w:p>
        </w:tc>
        <w:tc>
          <w:tcPr>
            <w:tcW w:w="2951" w:type="dxa"/>
            <w:tcBorders>
              <w:top w:val="nil"/>
              <w:left w:val="nil"/>
              <w:bottom w:val="nil"/>
              <w:right w:val="nil"/>
            </w:tcBorders>
            <w:shd w:val="clear" w:color="auto" w:fill="auto"/>
            <w:noWrap/>
            <w:tcMar>
              <w:left w:w="0" w:type="dxa"/>
              <w:right w:w="0" w:type="dxa"/>
            </w:tcMar>
            <w:vAlign w:val="bottom"/>
            <w:hideMark/>
          </w:tcPr>
          <w:p w:rsidR="00FE62A1" w:rsidRPr="00CD30FA" w:rsidRDefault="00FE62A1" w:rsidP="00263BC9">
            <w:pPr>
              <w:spacing w:line="140" w:lineRule="exact"/>
              <w:rPr>
                <w:rFonts w:ascii="Times New Roman" w:hAnsi="Times New Roman" w:cs="Times New Roman"/>
                <w:sz w:val="16"/>
                <w:szCs w:val="16"/>
              </w:rPr>
            </w:pPr>
          </w:p>
        </w:tc>
        <w:tc>
          <w:tcPr>
            <w:tcW w:w="2007" w:type="dxa"/>
            <w:tcBorders>
              <w:top w:val="nil"/>
              <w:left w:val="nil"/>
              <w:bottom w:val="nil"/>
              <w:right w:val="nil"/>
            </w:tcBorders>
            <w:shd w:val="clear" w:color="auto" w:fill="auto"/>
            <w:noWrap/>
            <w:tcMar>
              <w:left w:w="0" w:type="dxa"/>
              <w:right w:w="0" w:type="dxa"/>
            </w:tcMar>
            <w:vAlign w:val="bottom"/>
            <w:hideMark/>
          </w:tcPr>
          <w:p w:rsidR="00FE62A1" w:rsidRPr="00CD30FA" w:rsidRDefault="00181964"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fldChar w:fldCharType="begin" w:fldLock="1"/>
            </w:r>
            <w:r w:rsidR="00B66649">
              <w:rPr>
                <w:rFonts w:ascii="Times New Roman" w:hAnsi="Times New Roman" w:cs="Times New Roman"/>
                <w:sz w:val="16"/>
                <w:szCs w:val="16"/>
              </w:rPr>
              <w:instrText>ADDIN CSL_CITATION {"citationItems":[{"id":"ITEM-1","itemData":{"ISSN":"0021-9258 (Print)","PMID":"8106504","abstract":"To identify cellular factors that assist in membrane protein biogenesis, we looked  for mutants affected in the \"stop transfer\" anchoring process. Using a SecY-PhoA fusion protein in which alkaline phosphatase (PhoA) mature sequence is attached to the last cytoplasmic domain following the 10th transmembrane segment of SecY, we isolated a mutation (std101) that allowed significant export of the PhoA moiety across the membrane. The mutation did not cause nonspecific leakage of cytoplasmic proteins. The mutation was identified as a single base change in the ftsH gene, causing an amino acid substitution in the proposed periplasmic region of FtsH, a putative membrane-bound ATPase. In addition, the ftsH1 temperature-sensitive mutation caused a similar phenotype. Disruption of the chromosomal ftsH in combination with a lac promoter-controlled copy of ftsH on a plasmid rendered the cell viability dependent on lac induction. Repression of this system resulted in a strong Std phenotype as well as significant export defects of beta-lactamase and OmpA. Thus, the loss of ftsH function enhances translocation of normally anchored protein segments and retards that of normally translocated proteins. These results suggest that FtsH participates in assembly of proteins into and through the membrane. It is needed for the cell to assure efficient stop-transfer of some transmembrane proteins.","author":[{"dropping-particle":"","family":"Akiyama","given":"Y","non-dropping-particle":"","parse-names":false,"suffix":""},{"dropping-particle":"","family":"Ogura","given":"T","non-dropping-particle":"","parse-names":false,"suffix":""},{"dropping-particle":"","family":"Ito","given":"K","non-dropping-particle":"","parse-names":false,"suffix":""}],"container-title":"The Journal of biological chemistry","id":"ITEM-1","issue":"7","issued":{"date-parts":[["1994","2"]]},"language":"eng","page":"5218-5224","publisher-place":"United States","title":"Involvement of FtsH in protein assembly into and through the membrane. I. Mutations  that reduce retention efficiency of a cytoplasmic reporter.","type":"article-journal","volume":"269"},"uris":["http://www.mendeley.com/documents/?uuid=df26a70e-af25-4ffb-b9cb-38ba85212609"]}],"mendeley":{"formattedCitation":"(Akiyama et al., 1994)","plainTextFormattedCitation":"(Akiyama et al., 1994)","previouslyFormattedCitation":"(Akiyama et al., 1994)"},"properties":{"noteIndex":0},"schema":"https://github.com/citation-style-language/schema/raw/master/csl-citation.json"}</w:instrText>
            </w:r>
            <w:r w:rsidRPr="00CD30FA">
              <w:rPr>
                <w:rFonts w:ascii="Times New Roman" w:hAnsi="Times New Roman" w:cs="Times New Roman"/>
                <w:sz w:val="16"/>
                <w:szCs w:val="16"/>
              </w:rPr>
              <w:fldChar w:fldCharType="separate"/>
            </w:r>
            <w:r w:rsidR="00B66649" w:rsidRPr="00B66649">
              <w:rPr>
                <w:rFonts w:ascii="Times New Roman" w:hAnsi="Times New Roman" w:cs="Times New Roman"/>
                <w:noProof/>
                <w:sz w:val="16"/>
                <w:szCs w:val="16"/>
              </w:rPr>
              <w:t>(Akiyama et al., 1994)</w:t>
            </w:r>
            <w:r w:rsidRPr="00CD30FA">
              <w:rPr>
                <w:rFonts w:ascii="Times New Roman" w:hAnsi="Times New Roman" w:cs="Times New Roman"/>
                <w:sz w:val="16"/>
                <w:szCs w:val="16"/>
              </w:rPr>
              <w:fldChar w:fldCharType="end"/>
            </w:r>
          </w:p>
        </w:tc>
      </w:tr>
      <w:tr w:rsidR="00FE62A1" w:rsidRPr="00CD30FA" w:rsidTr="00402577">
        <w:trPr>
          <w:trHeight w:hRule="exact" w:val="227"/>
        </w:trPr>
        <w:tc>
          <w:tcPr>
            <w:tcW w:w="1343" w:type="dxa"/>
            <w:tcBorders>
              <w:top w:val="nil"/>
              <w:left w:val="nil"/>
              <w:bottom w:val="nil"/>
              <w:right w:val="nil"/>
            </w:tcBorders>
            <w:shd w:val="clear" w:color="auto" w:fill="auto"/>
            <w:noWrap/>
            <w:tcMar>
              <w:left w:w="0" w:type="dxa"/>
              <w:right w:w="0" w:type="dxa"/>
            </w:tcMar>
            <w:vAlign w:val="bottom"/>
            <w:hideMark/>
          </w:tcPr>
          <w:p w:rsidR="00FE62A1" w:rsidRPr="00CD30FA" w:rsidRDefault="00FE62A1"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t>HM1742</w:t>
            </w:r>
          </w:p>
        </w:tc>
        <w:tc>
          <w:tcPr>
            <w:tcW w:w="1692" w:type="dxa"/>
            <w:tcBorders>
              <w:top w:val="nil"/>
              <w:left w:val="nil"/>
              <w:bottom w:val="nil"/>
              <w:right w:val="nil"/>
            </w:tcBorders>
            <w:shd w:val="clear" w:color="auto" w:fill="auto"/>
            <w:noWrap/>
            <w:tcMar>
              <w:left w:w="0" w:type="dxa"/>
              <w:right w:w="0" w:type="dxa"/>
            </w:tcMar>
            <w:vAlign w:val="bottom"/>
            <w:hideMark/>
          </w:tcPr>
          <w:p w:rsidR="00FE62A1" w:rsidRPr="00CD30FA" w:rsidRDefault="00FE62A1"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t xml:space="preserve">CU141, </w:t>
            </w:r>
            <w:proofErr w:type="spellStart"/>
            <w:r w:rsidRPr="00CD30FA">
              <w:rPr>
                <w:rFonts w:ascii="Times New Roman" w:hAnsi="Times New Roman" w:cs="Times New Roman"/>
                <w:i/>
                <w:iCs/>
                <w:sz w:val="16"/>
                <w:szCs w:val="16"/>
              </w:rPr>
              <w:t>ara</w:t>
            </w:r>
            <w:proofErr w:type="spellEnd"/>
            <w:r w:rsidRPr="00CD30FA">
              <w:rPr>
                <w:rFonts w:ascii="Times New Roman" w:hAnsi="Times New Roman" w:cs="Times New Roman"/>
                <w:sz w:val="16"/>
                <w:szCs w:val="16"/>
                <w:vertAlign w:val="superscript"/>
              </w:rPr>
              <w:t>+</w:t>
            </w:r>
          </w:p>
        </w:tc>
        <w:tc>
          <w:tcPr>
            <w:tcW w:w="1527" w:type="dxa"/>
            <w:tcBorders>
              <w:top w:val="nil"/>
              <w:left w:val="nil"/>
              <w:bottom w:val="nil"/>
              <w:right w:val="nil"/>
            </w:tcBorders>
            <w:shd w:val="clear" w:color="auto" w:fill="auto"/>
            <w:noWrap/>
            <w:tcMar>
              <w:left w:w="0" w:type="dxa"/>
              <w:right w:w="0" w:type="dxa"/>
            </w:tcMar>
            <w:vAlign w:val="bottom"/>
            <w:hideMark/>
          </w:tcPr>
          <w:p w:rsidR="00FE62A1" w:rsidRPr="00CD30FA" w:rsidRDefault="00FE62A1" w:rsidP="00263BC9">
            <w:pPr>
              <w:spacing w:line="140" w:lineRule="exact"/>
              <w:rPr>
                <w:rFonts w:ascii="Times New Roman" w:hAnsi="Times New Roman" w:cs="Times New Roman"/>
                <w:sz w:val="16"/>
                <w:szCs w:val="16"/>
              </w:rPr>
            </w:pPr>
          </w:p>
        </w:tc>
        <w:tc>
          <w:tcPr>
            <w:tcW w:w="2951" w:type="dxa"/>
            <w:tcBorders>
              <w:top w:val="nil"/>
              <w:left w:val="nil"/>
              <w:bottom w:val="nil"/>
              <w:right w:val="nil"/>
            </w:tcBorders>
            <w:shd w:val="clear" w:color="auto" w:fill="auto"/>
            <w:noWrap/>
            <w:tcMar>
              <w:left w:w="0" w:type="dxa"/>
              <w:right w:w="0" w:type="dxa"/>
            </w:tcMar>
            <w:vAlign w:val="bottom"/>
            <w:hideMark/>
          </w:tcPr>
          <w:p w:rsidR="00FE62A1" w:rsidRPr="00CD30FA" w:rsidRDefault="00FE62A1" w:rsidP="00263BC9">
            <w:pPr>
              <w:spacing w:line="140" w:lineRule="exact"/>
              <w:rPr>
                <w:rFonts w:ascii="Times New Roman" w:eastAsia="Times New Roman" w:hAnsi="Times New Roman" w:cs="Times New Roman"/>
                <w:sz w:val="16"/>
                <w:szCs w:val="16"/>
              </w:rPr>
            </w:pPr>
          </w:p>
        </w:tc>
        <w:tc>
          <w:tcPr>
            <w:tcW w:w="2007" w:type="dxa"/>
            <w:tcBorders>
              <w:top w:val="nil"/>
              <w:left w:val="nil"/>
              <w:bottom w:val="nil"/>
              <w:right w:val="nil"/>
            </w:tcBorders>
            <w:shd w:val="clear" w:color="auto" w:fill="auto"/>
            <w:noWrap/>
            <w:tcMar>
              <w:left w:w="0" w:type="dxa"/>
              <w:right w:w="0" w:type="dxa"/>
            </w:tcMar>
            <w:vAlign w:val="bottom"/>
            <w:hideMark/>
          </w:tcPr>
          <w:p w:rsidR="00FE62A1" w:rsidRPr="00CD30FA" w:rsidRDefault="00181964"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fldChar w:fldCharType="begin" w:fldLock="1"/>
            </w:r>
            <w:r w:rsidR="00B66649">
              <w:rPr>
                <w:rFonts w:ascii="Times New Roman" w:hAnsi="Times New Roman" w:cs="Times New Roman"/>
                <w:sz w:val="16"/>
                <w:szCs w:val="16"/>
              </w:rPr>
              <w:instrText>ADDIN CSL_CITATION {"citationItems":[{"id":"ITEM-1","itemData":{"DOI":"10.1074/jbc.M606906200","ISSN":"0021-9258 (Print)","PMID":"17005557","abstract":"SecA contains two ATPase folds (NBF1 and NBF2) and other interaction/regulatory domains, all of which are connected by a long helical scaffold domain (HSD) running along the molecule. Here we identified a functionally important and spatially adjacent pair of SecA residues, Arg-642 on HSD and Glu-400 on NBF1. A charge-reversing substitution at either position as well as disulfide tethering of these positions inactivated the translocation activity. Interestingly, however, the translocation-inactive SecA variants fully retained the ability to up-regulate the ATPase in response to a preprotein and the SecYEG translocon. The translocation defect was suppressible by second site alterations at the hinge-forming boundary of NBF2 and HSD. Based on these results, we propose that the motor function of SecA is realized by ligand-activated ATPase engine and its HSD-mediated conversion into the mechanical work of preprotein translocation.","author":[{"dropping-particle":"","family":"Mori","given":"Hiroyuki","non-dropping-particle":"","parse-names":false,"suffix":""},{"dropping-particle":"","family":"Ito","given":"Koreaki","non-dropping-particle":"","parse-names":false,"suffix":""}],"container-title":"The Journal of biological chemistry","id":"ITEM-1","issue":"47","issued":{"date-parts":[["2006","11"]]},"language":"eng","page":"36249-36256","publisher-place":"United States","title":"The long α-helix of SecA is important for the ATPase coupling of translocation.","type":"article-journal","volume":"281"},"uris":["http://www.mendeley.com/documents/?uuid=bc441d12-a3b9-47b4-b8a9-b288cde43a8b"]}],"mendeley":{"formattedCitation":"(Mori and Ito, 2006)","plainTextFormattedCitation":"(Mori and Ito, 2006)","previouslyFormattedCitation":"(Mori and Ito, 2006)"},"properties":{"noteIndex":0},"schema":"https://github.com/citation-style-language/schema/raw/master/csl-citation.json"}</w:instrText>
            </w:r>
            <w:r w:rsidRPr="00CD30FA">
              <w:rPr>
                <w:rFonts w:ascii="Times New Roman" w:hAnsi="Times New Roman" w:cs="Times New Roman"/>
                <w:sz w:val="16"/>
                <w:szCs w:val="16"/>
              </w:rPr>
              <w:fldChar w:fldCharType="separate"/>
            </w:r>
            <w:r w:rsidR="00B66649" w:rsidRPr="00B66649">
              <w:rPr>
                <w:rFonts w:ascii="Times New Roman" w:hAnsi="Times New Roman" w:cs="Times New Roman"/>
                <w:noProof/>
                <w:sz w:val="16"/>
                <w:szCs w:val="16"/>
              </w:rPr>
              <w:t>(Mori and Ito, 2006)</w:t>
            </w:r>
            <w:r w:rsidRPr="00CD30FA">
              <w:rPr>
                <w:rFonts w:ascii="Times New Roman" w:hAnsi="Times New Roman" w:cs="Times New Roman"/>
                <w:sz w:val="16"/>
                <w:szCs w:val="16"/>
              </w:rPr>
              <w:fldChar w:fldCharType="end"/>
            </w:r>
          </w:p>
        </w:tc>
      </w:tr>
      <w:tr w:rsidR="00FE62A1" w:rsidRPr="00CD30FA" w:rsidTr="00402577">
        <w:trPr>
          <w:trHeight w:hRule="exact" w:val="227"/>
        </w:trPr>
        <w:tc>
          <w:tcPr>
            <w:tcW w:w="1343" w:type="dxa"/>
            <w:tcBorders>
              <w:top w:val="nil"/>
              <w:left w:val="nil"/>
              <w:bottom w:val="nil"/>
              <w:right w:val="nil"/>
            </w:tcBorders>
            <w:shd w:val="clear" w:color="auto" w:fill="auto"/>
            <w:noWrap/>
            <w:tcMar>
              <w:left w:w="0" w:type="dxa"/>
              <w:right w:w="0" w:type="dxa"/>
            </w:tcMar>
            <w:vAlign w:val="bottom"/>
            <w:hideMark/>
          </w:tcPr>
          <w:p w:rsidR="00FE62A1" w:rsidRPr="00CD30FA" w:rsidRDefault="00FE62A1"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t>RM2831</w:t>
            </w:r>
          </w:p>
        </w:tc>
        <w:tc>
          <w:tcPr>
            <w:tcW w:w="3219" w:type="dxa"/>
            <w:gridSpan w:val="2"/>
            <w:tcBorders>
              <w:top w:val="nil"/>
              <w:left w:val="nil"/>
              <w:bottom w:val="nil"/>
              <w:right w:val="nil"/>
            </w:tcBorders>
            <w:shd w:val="clear" w:color="auto" w:fill="auto"/>
            <w:noWrap/>
            <w:tcMar>
              <w:left w:w="0" w:type="dxa"/>
              <w:right w:w="0" w:type="dxa"/>
            </w:tcMar>
            <w:vAlign w:val="bottom"/>
            <w:hideMark/>
          </w:tcPr>
          <w:p w:rsidR="00FE62A1" w:rsidRPr="00CD30FA" w:rsidRDefault="00FE62A1"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t xml:space="preserve">HM1742, </w:t>
            </w:r>
            <w:r w:rsidRPr="00CD30FA">
              <w:rPr>
                <w:rFonts w:ascii="Times New Roman" w:hAnsi="Times New Roman" w:cs="Times New Roman"/>
                <w:i/>
                <w:iCs/>
                <w:sz w:val="16"/>
                <w:szCs w:val="16"/>
              </w:rPr>
              <w:t>ffh-his</w:t>
            </w:r>
            <w:r w:rsidRPr="00CD30FA">
              <w:rPr>
                <w:rFonts w:ascii="Times New Roman" w:hAnsi="Times New Roman" w:cs="Times New Roman"/>
                <w:i/>
                <w:iCs/>
                <w:sz w:val="16"/>
                <w:szCs w:val="16"/>
                <w:vertAlign w:val="subscript"/>
              </w:rPr>
              <w:t>10</w:t>
            </w:r>
          </w:p>
        </w:tc>
        <w:tc>
          <w:tcPr>
            <w:tcW w:w="2951" w:type="dxa"/>
            <w:tcBorders>
              <w:top w:val="nil"/>
              <w:left w:val="nil"/>
              <w:bottom w:val="nil"/>
              <w:right w:val="nil"/>
            </w:tcBorders>
            <w:shd w:val="clear" w:color="auto" w:fill="auto"/>
            <w:noWrap/>
            <w:tcMar>
              <w:left w:w="0" w:type="dxa"/>
              <w:right w:w="0" w:type="dxa"/>
            </w:tcMar>
            <w:vAlign w:val="bottom"/>
            <w:hideMark/>
          </w:tcPr>
          <w:p w:rsidR="00FE62A1" w:rsidRPr="00CD30FA" w:rsidRDefault="00FE62A1" w:rsidP="00263BC9">
            <w:pPr>
              <w:spacing w:line="140" w:lineRule="exact"/>
              <w:rPr>
                <w:rFonts w:ascii="Times New Roman" w:hAnsi="Times New Roman" w:cs="Times New Roman"/>
                <w:sz w:val="16"/>
                <w:szCs w:val="16"/>
              </w:rPr>
            </w:pPr>
          </w:p>
        </w:tc>
        <w:tc>
          <w:tcPr>
            <w:tcW w:w="2007" w:type="dxa"/>
            <w:tcBorders>
              <w:top w:val="nil"/>
              <w:left w:val="nil"/>
              <w:bottom w:val="nil"/>
              <w:right w:val="nil"/>
            </w:tcBorders>
            <w:shd w:val="clear" w:color="auto" w:fill="auto"/>
            <w:noWrap/>
            <w:tcMar>
              <w:left w:w="0" w:type="dxa"/>
              <w:right w:w="0" w:type="dxa"/>
            </w:tcMar>
            <w:vAlign w:val="bottom"/>
            <w:hideMark/>
          </w:tcPr>
          <w:p w:rsidR="00FE62A1" w:rsidRPr="00CD30FA" w:rsidRDefault="00FE62A1"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t>This study</w:t>
            </w:r>
          </w:p>
        </w:tc>
      </w:tr>
      <w:tr w:rsidR="00FE62A1" w:rsidRPr="00CD30FA" w:rsidTr="00402577">
        <w:trPr>
          <w:trHeight w:hRule="exact" w:val="227"/>
        </w:trPr>
        <w:tc>
          <w:tcPr>
            <w:tcW w:w="1343" w:type="dxa"/>
            <w:tcBorders>
              <w:top w:val="nil"/>
              <w:left w:val="nil"/>
              <w:bottom w:val="nil"/>
              <w:right w:val="nil"/>
            </w:tcBorders>
            <w:shd w:val="clear" w:color="auto" w:fill="auto"/>
            <w:noWrap/>
            <w:tcMar>
              <w:left w:w="0" w:type="dxa"/>
              <w:right w:w="0" w:type="dxa"/>
            </w:tcMar>
            <w:vAlign w:val="bottom"/>
            <w:hideMark/>
          </w:tcPr>
          <w:p w:rsidR="00FE62A1" w:rsidRPr="00CD30FA" w:rsidRDefault="00FE62A1"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t>RM2834</w:t>
            </w:r>
          </w:p>
        </w:tc>
        <w:tc>
          <w:tcPr>
            <w:tcW w:w="3219" w:type="dxa"/>
            <w:gridSpan w:val="2"/>
            <w:tcBorders>
              <w:top w:val="nil"/>
              <w:left w:val="nil"/>
              <w:bottom w:val="nil"/>
              <w:right w:val="nil"/>
            </w:tcBorders>
            <w:shd w:val="clear" w:color="auto" w:fill="auto"/>
            <w:noWrap/>
            <w:tcMar>
              <w:left w:w="0" w:type="dxa"/>
              <w:right w:w="0" w:type="dxa"/>
            </w:tcMar>
            <w:vAlign w:val="bottom"/>
            <w:hideMark/>
          </w:tcPr>
          <w:p w:rsidR="00FE62A1" w:rsidRPr="00CD30FA" w:rsidRDefault="00FE62A1"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t xml:space="preserve">HM1742, </w:t>
            </w:r>
            <w:r w:rsidRPr="00CD30FA">
              <w:rPr>
                <w:rFonts w:ascii="Times New Roman" w:hAnsi="Times New Roman" w:cs="Times New Roman"/>
                <w:i/>
                <w:iCs/>
                <w:sz w:val="16"/>
                <w:szCs w:val="16"/>
              </w:rPr>
              <w:t>secY-his</w:t>
            </w:r>
            <w:r w:rsidRPr="00CD30FA">
              <w:rPr>
                <w:rFonts w:ascii="Times New Roman" w:hAnsi="Times New Roman" w:cs="Times New Roman"/>
                <w:i/>
                <w:iCs/>
                <w:sz w:val="16"/>
                <w:szCs w:val="16"/>
                <w:vertAlign w:val="subscript"/>
              </w:rPr>
              <w:t>10</w:t>
            </w:r>
          </w:p>
        </w:tc>
        <w:tc>
          <w:tcPr>
            <w:tcW w:w="2951" w:type="dxa"/>
            <w:tcBorders>
              <w:top w:val="nil"/>
              <w:left w:val="nil"/>
              <w:bottom w:val="nil"/>
              <w:right w:val="nil"/>
            </w:tcBorders>
            <w:shd w:val="clear" w:color="auto" w:fill="auto"/>
            <w:noWrap/>
            <w:tcMar>
              <w:left w:w="0" w:type="dxa"/>
              <w:right w:w="0" w:type="dxa"/>
            </w:tcMar>
            <w:vAlign w:val="bottom"/>
            <w:hideMark/>
          </w:tcPr>
          <w:p w:rsidR="00FE62A1" w:rsidRPr="00CD30FA" w:rsidRDefault="00FE62A1" w:rsidP="00263BC9">
            <w:pPr>
              <w:spacing w:line="140" w:lineRule="exact"/>
              <w:rPr>
                <w:rFonts w:ascii="Times New Roman" w:hAnsi="Times New Roman" w:cs="Times New Roman"/>
                <w:sz w:val="16"/>
                <w:szCs w:val="16"/>
              </w:rPr>
            </w:pPr>
          </w:p>
        </w:tc>
        <w:tc>
          <w:tcPr>
            <w:tcW w:w="2007" w:type="dxa"/>
            <w:tcBorders>
              <w:top w:val="nil"/>
              <w:left w:val="nil"/>
              <w:bottom w:val="nil"/>
              <w:right w:val="nil"/>
            </w:tcBorders>
            <w:shd w:val="clear" w:color="auto" w:fill="auto"/>
            <w:noWrap/>
            <w:tcMar>
              <w:left w:w="0" w:type="dxa"/>
              <w:right w:w="0" w:type="dxa"/>
            </w:tcMar>
            <w:vAlign w:val="bottom"/>
            <w:hideMark/>
          </w:tcPr>
          <w:p w:rsidR="00FE62A1" w:rsidRPr="00CD30FA" w:rsidRDefault="00FE62A1"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t>This study</w:t>
            </w:r>
          </w:p>
        </w:tc>
      </w:tr>
      <w:tr w:rsidR="00FE62A1" w:rsidRPr="00CD30FA" w:rsidTr="00402577">
        <w:trPr>
          <w:trHeight w:hRule="exact" w:val="227"/>
        </w:trPr>
        <w:tc>
          <w:tcPr>
            <w:tcW w:w="1343" w:type="dxa"/>
            <w:tcBorders>
              <w:top w:val="nil"/>
              <w:left w:val="nil"/>
              <w:bottom w:val="nil"/>
              <w:right w:val="nil"/>
            </w:tcBorders>
            <w:shd w:val="clear" w:color="auto" w:fill="auto"/>
            <w:noWrap/>
            <w:tcMar>
              <w:left w:w="0" w:type="dxa"/>
              <w:right w:w="0" w:type="dxa"/>
            </w:tcMar>
            <w:vAlign w:val="bottom"/>
            <w:hideMark/>
          </w:tcPr>
          <w:p w:rsidR="00FE62A1" w:rsidRPr="00CD30FA" w:rsidRDefault="00FE62A1"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t>RM2935</w:t>
            </w:r>
          </w:p>
        </w:tc>
        <w:tc>
          <w:tcPr>
            <w:tcW w:w="3219" w:type="dxa"/>
            <w:gridSpan w:val="2"/>
            <w:tcBorders>
              <w:top w:val="nil"/>
              <w:left w:val="nil"/>
              <w:bottom w:val="nil"/>
              <w:right w:val="nil"/>
            </w:tcBorders>
            <w:shd w:val="clear" w:color="auto" w:fill="auto"/>
            <w:noWrap/>
            <w:tcMar>
              <w:left w:w="0" w:type="dxa"/>
              <w:right w:w="0" w:type="dxa"/>
            </w:tcMar>
            <w:vAlign w:val="bottom"/>
            <w:hideMark/>
          </w:tcPr>
          <w:p w:rsidR="00FE62A1" w:rsidRPr="00CD30FA" w:rsidRDefault="00FE62A1"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t xml:space="preserve">HM1742, </w:t>
            </w:r>
            <w:r w:rsidRPr="00CD30FA">
              <w:rPr>
                <w:rFonts w:ascii="Times New Roman" w:hAnsi="Times New Roman" w:cs="Times New Roman"/>
                <w:i/>
                <w:iCs/>
                <w:sz w:val="16"/>
                <w:szCs w:val="16"/>
              </w:rPr>
              <w:t>yidC-his</w:t>
            </w:r>
            <w:r w:rsidRPr="00CD30FA">
              <w:rPr>
                <w:rFonts w:ascii="Times New Roman" w:hAnsi="Times New Roman" w:cs="Times New Roman"/>
                <w:i/>
                <w:iCs/>
                <w:sz w:val="16"/>
                <w:szCs w:val="16"/>
                <w:vertAlign w:val="subscript"/>
              </w:rPr>
              <w:t>10</w:t>
            </w:r>
            <w:r w:rsidRPr="00CD30FA">
              <w:rPr>
                <w:rFonts w:ascii="Times New Roman" w:hAnsi="Times New Roman" w:cs="Times New Roman"/>
                <w:i/>
                <w:iCs/>
                <w:sz w:val="16"/>
                <w:szCs w:val="16"/>
              </w:rPr>
              <w:t xml:space="preserve"> </w:t>
            </w:r>
            <w:proofErr w:type="spellStart"/>
            <w:r w:rsidRPr="00CD30FA">
              <w:rPr>
                <w:rFonts w:ascii="Times New Roman" w:hAnsi="Times New Roman" w:cs="Times New Roman"/>
                <w:i/>
                <w:iCs/>
                <w:sz w:val="16"/>
                <w:szCs w:val="16"/>
              </w:rPr>
              <w:t>kan</w:t>
            </w:r>
            <w:proofErr w:type="spellEnd"/>
          </w:p>
        </w:tc>
        <w:tc>
          <w:tcPr>
            <w:tcW w:w="2951" w:type="dxa"/>
            <w:tcBorders>
              <w:top w:val="nil"/>
              <w:left w:val="nil"/>
              <w:bottom w:val="nil"/>
              <w:right w:val="nil"/>
            </w:tcBorders>
            <w:shd w:val="clear" w:color="auto" w:fill="auto"/>
            <w:noWrap/>
            <w:tcMar>
              <w:left w:w="0" w:type="dxa"/>
              <w:right w:w="0" w:type="dxa"/>
            </w:tcMar>
            <w:vAlign w:val="bottom"/>
            <w:hideMark/>
          </w:tcPr>
          <w:p w:rsidR="00FE62A1" w:rsidRPr="00CD30FA" w:rsidRDefault="00FE62A1" w:rsidP="00263BC9">
            <w:pPr>
              <w:spacing w:line="140" w:lineRule="exact"/>
              <w:rPr>
                <w:rFonts w:ascii="Times New Roman" w:hAnsi="Times New Roman" w:cs="Times New Roman"/>
                <w:sz w:val="16"/>
                <w:szCs w:val="16"/>
              </w:rPr>
            </w:pPr>
          </w:p>
        </w:tc>
        <w:tc>
          <w:tcPr>
            <w:tcW w:w="2007" w:type="dxa"/>
            <w:tcBorders>
              <w:top w:val="nil"/>
              <w:left w:val="nil"/>
              <w:bottom w:val="nil"/>
              <w:right w:val="nil"/>
            </w:tcBorders>
            <w:shd w:val="clear" w:color="auto" w:fill="auto"/>
            <w:noWrap/>
            <w:tcMar>
              <w:left w:w="0" w:type="dxa"/>
              <w:right w:w="0" w:type="dxa"/>
            </w:tcMar>
            <w:vAlign w:val="bottom"/>
            <w:hideMark/>
          </w:tcPr>
          <w:p w:rsidR="00FE62A1" w:rsidRPr="00CD30FA" w:rsidRDefault="00FE62A1"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t>This study</w:t>
            </w:r>
          </w:p>
        </w:tc>
      </w:tr>
      <w:tr w:rsidR="00FE62A1" w:rsidRPr="00CD30FA" w:rsidTr="00402577">
        <w:trPr>
          <w:trHeight w:hRule="exact" w:val="227"/>
        </w:trPr>
        <w:tc>
          <w:tcPr>
            <w:tcW w:w="1343" w:type="dxa"/>
            <w:tcBorders>
              <w:top w:val="nil"/>
              <w:left w:val="nil"/>
              <w:bottom w:val="nil"/>
              <w:right w:val="nil"/>
            </w:tcBorders>
            <w:shd w:val="clear" w:color="auto" w:fill="auto"/>
            <w:noWrap/>
            <w:tcMar>
              <w:left w:w="0" w:type="dxa"/>
              <w:right w:w="0" w:type="dxa"/>
            </w:tcMar>
            <w:vAlign w:val="bottom"/>
            <w:hideMark/>
          </w:tcPr>
          <w:p w:rsidR="00FE62A1" w:rsidRPr="00CD30FA" w:rsidRDefault="00FE62A1"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t>RM3032</w:t>
            </w:r>
          </w:p>
        </w:tc>
        <w:tc>
          <w:tcPr>
            <w:tcW w:w="3219" w:type="dxa"/>
            <w:gridSpan w:val="2"/>
            <w:tcBorders>
              <w:top w:val="nil"/>
              <w:left w:val="nil"/>
              <w:bottom w:val="nil"/>
              <w:right w:val="nil"/>
            </w:tcBorders>
            <w:shd w:val="clear" w:color="auto" w:fill="auto"/>
            <w:noWrap/>
            <w:tcMar>
              <w:left w:w="0" w:type="dxa"/>
              <w:right w:w="0" w:type="dxa"/>
            </w:tcMar>
            <w:vAlign w:val="bottom"/>
            <w:hideMark/>
          </w:tcPr>
          <w:p w:rsidR="00FE62A1" w:rsidRPr="00CD30FA" w:rsidRDefault="00FE62A1"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t xml:space="preserve">HM1742, </w:t>
            </w:r>
            <w:r w:rsidRPr="00CD30FA">
              <w:rPr>
                <w:rFonts w:ascii="Times New Roman" w:hAnsi="Times New Roman" w:cs="Times New Roman"/>
                <w:i/>
                <w:iCs/>
                <w:sz w:val="16"/>
                <w:szCs w:val="16"/>
              </w:rPr>
              <w:t>ppiD-his</w:t>
            </w:r>
            <w:r w:rsidRPr="00CD30FA">
              <w:rPr>
                <w:rFonts w:ascii="Times New Roman" w:hAnsi="Times New Roman" w:cs="Times New Roman"/>
                <w:i/>
                <w:iCs/>
                <w:sz w:val="16"/>
                <w:szCs w:val="16"/>
                <w:vertAlign w:val="subscript"/>
              </w:rPr>
              <w:t>10</w:t>
            </w:r>
            <w:r w:rsidRPr="00CD30FA">
              <w:rPr>
                <w:rFonts w:ascii="Times New Roman" w:hAnsi="Times New Roman" w:cs="Times New Roman"/>
                <w:i/>
                <w:iCs/>
                <w:sz w:val="16"/>
                <w:szCs w:val="16"/>
              </w:rPr>
              <w:t xml:space="preserve"> </w:t>
            </w:r>
            <w:proofErr w:type="spellStart"/>
            <w:r w:rsidRPr="00CD30FA">
              <w:rPr>
                <w:rFonts w:ascii="Times New Roman" w:hAnsi="Times New Roman" w:cs="Times New Roman"/>
                <w:i/>
                <w:iCs/>
                <w:sz w:val="16"/>
                <w:szCs w:val="16"/>
              </w:rPr>
              <w:t>kan</w:t>
            </w:r>
            <w:proofErr w:type="spellEnd"/>
          </w:p>
        </w:tc>
        <w:tc>
          <w:tcPr>
            <w:tcW w:w="2951" w:type="dxa"/>
            <w:tcBorders>
              <w:top w:val="nil"/>
              <w:left w:val="nil"/>
              <w:bottom w:val="nil"/>
              <w:right w:val="nil"/>
            </w:tcBorders>
            <w:shd w:val="clear" w:color="auto" w:fill="auto"/>
            <w:noWrap/>
            <w:tcMar>
              <w:left w:w="0" w:type="dxa"/>
              <w:right w:w="0" w:type="dxa"/>
            </w:tcMar>
            <w:vAlign w:val="bottom"/>
            <w:hideMark/>
          </w:tcPr>
          <w:p w:rsidR="00FE62A1" w:rsidRPr="00CD30FA" w:rsidRDefault="00FE62A1" w:rsidP="00263BC9">
            <w:pPr>
              <w:spacing w:line="140" w:lineRule="exact"/>
              <w:rPr>
                <w:rFonts w:ascii="Times New Roman" w:hAnsi="Times New Roman" w:cs="Times New Roman"/>
                <w:sz w:val="16"/>
                <w:szCs w:val="16"/>
              </w:rPr>
            </w:pPr>
          </w:p>
        </w:tc>
        <w:tc>
          <w:tcPr>
            <w:tcW w:w="2007" w:type="dxa"/>
            <w:tcBorders>
              <w:top w:val="nil"/>
              <w:left w:val="nil"/>
              <w:bottom w:val="nil"/>
              <w:right w:val="nil"/>
            </w:tcBorders>
            <w:shd w:val="clear" w:color="auto" w:fill="auto"/>
            <w:noWrap/>
            <w:tcMar>
              <w:left w:w="0" w:type="dxa"/>
              <w:right w:w="0" w:type="dxa"/>
            </w:tcMar>
            <w:vAlign w:val="bottom"/>
            <w:hideMark/>
          </w:tcPr>
          <w:p w:rsidR="00FE62A1" w:rsidRPr="00CD30FA" w:rsidRDefault="00FE62A1"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t>This study</w:t>
            </w:r>
          </w:p>
        </w:tc>
      </w:tr>
      <w:tr w:rsidR="00FE62A1" w:rsidRPr="00CD30FA" w:rsidTr="00402577">
        <w:trPr>
          <w:trHeight w:hRule="exact" w:val="227"/>
        </w:trPr>
        <w:tc>
          <w:tcPr>
            <w:tcW w:w="1343" w:type="dxa"/>
            <w:tcBorders>
              <w:top w:val="nil"/>
              <w:left w:val="nil"/>
              <w:bottom w:val="nil"/>
              <w:right w:val="nil"/>
            </w:tcBorders>
            <w:shd w:val="clear" w:color="auto" w:fill="auto"/>
            <w:noWrap/>
            <w:tcMar>
              <w:left w:w="0" w:type="dxa"/>
              <w:right w:w="0" w:type="dxa"/>
            </w:tcMar>
            <w:vAlign w:val="bottom"/>
            <w:hideMark/>
          </w:tcPr>
          <w:p w:rsidR="00FE62A1" w:rsidRPr="00CD30FA" w:rsidRDefault="00FE62A1"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t>RM3122</w:t>
            </w:r>
          </w:p>
        </w:tc>
        <w:tc>
          <w:tcPr>
            <w:tcW w:w="3219" w:type="dxa"/>
            <w:gridSpan w:val="2"/>
            <w:tcBorders>
              <w:top w:val="nil"/>
              <w:left w:val="nil"/>
              <w:bottom w:val="nil"/>
              <w:right w:val="nil"/>
            </w:tcBorders>
            <w:shd w:val="clear" w:color="auto" w:fill="auto"/>
            <w:noWrap/>
            <w:tcMar>
              <w:left w:w="0" w:type="dxa"/>
              <w:right w:w="0" w:type="dxa"/>
            </w:tcMar>
            <w:vAlign w:val="bottom"/>
            <w:hideMark/>
          </w:tcPr>
          <w:p w:rsidR="00FE62A1" w:rsidRPr="00CD30FA" w:rsidRDefault="00FE62A1"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t xml:space="preserve">HM1742, </w:t>
            </w:r>
            <w:proofErr w:type="spellStart"/>
            <w:r w:rsidRPr="00CD30FA">
              <w:rPr>
                <w:rFonts w:ascii="Times New Roman" w:hAnsi="Times New Roman" w:cs="Times New Roman"/>
                <w:sz w:val="16"/>
                <w:szCs w:val="16"/>
              </w:rPr>
              <w:t>Δ</w:t>
            </w:r>
            <w:proofErr w:type="gramStart"/>
            <w:r w:rsidRPr="00CD30FA">
              <w:rPr>
                <w:rFonts w:ascii="Times New Roman" w:hAnsi="Times New Roman" w:cs="Times New Roman"/>
                <w:i/>
                <w:iCs/>
                <w:sz w:val="16"/>
                <w:szCs w:val="16"/>
              </w:rPr>
              <w:t>ppiD</w:t>
            </w:r>
            <w:proofErr w:type="spellEnd"/>
            <w:r w:rsidRPr="00CD30FA">
              <w:rPr>
                <w:rFonts w:ascii="Times New Roman" w:hAnsi="Times New Roman" w:cs="Times New Roman"/>
                <w:sz w:val="16"/>
                <w:szCs w:val="16"/>
              </w:rPr>
              <w:t>::</w:t>
            </w:r>
            <w:proofErr w:type="spellStart"/>
            <w:proofErr w:type="gramEnd"/>
            <w:r w:rsidRPr="00CD30FA">
              <w:rPr>
                <w:rFonts w:ascii="Times New Roman" w:hAnsi="Times New Roman" w:cs="Times New Roman"/>
                <w:i/>
                <w:iCs/>
                <w:sz w:val="16"/>
                <w:szCs w:val="16"/>
              </w:rPr>
              <w:t>kan</w:t>
            </w:r>
            <w:proofErr w:type="spellEnd"/>
          </w:p>
        </w:tc>
        <w:tc>
          <w:tcPr>
            <w:tcW w:w="2951" w:type="dxa"/>
            <w:tcBorders>
              <w:top w:val="nil"/>
              <w:left w:val="nil"/>
              <w:bottom w:val="nil"/>
              <w:right w:val="nil"/>
            </w:tcBorders>
            <w:shd w:val="clear" w:color="auto" w:fill="auto"/>
            <w:noWrap/>
            <w:tcMar>
              <w:left w:w="0" w:type="dxa"/>
              <w:right w:w="0" w:type="dxa"/>
            </w:tcMar>
            <w:vAlign w:val="bottom"/>
            <w:hideMark/>
          </w:tcPr>
          <w:p w:rsidR="00FE62A1" w:rsidRPr="00CD30FA" w:rsidRDefault="00FE62A1" w:rsidP="00263BC9">
            <w:pPr>
              <w:spacing w:line="140" w:lineRule="exact"/>
              <w:rPr>
                <w:rFonts w:ascii="Times New Roman" w:hAnsi="Times New Roman" w:cs="Times New Roman"/>
                <w:sz w:val="16"/>
                <w:szCs w:val="16"/>
              </w:rPr>
            </w:pPr>
          </w:p>
        </w:tc>
        <w:tc>
          <w:tcPr>
            <w:tcW w:w="2007" w:type="dxa"/>
            <w:tcBorders>
              <w:top w:val="nil"/>
              <w:left w:val="nil"/>
              <w:bottom w:val="nil"/>
              <w:right w:val="nil"/>
            </w:tcBorders>
            <w:shd w:val="clear" w:color="auto" w:fill="auto"/>
            <w:noWrap/>
            <w:tcMar>
              <w:left w:w="0" w:type="dxa"/>
              <w:right w:w="0" w:type="dxa"/>
            </w:tcMar>
            <w:vAlign w:val="bottom"/>
            <w:hideMark/>
          </w:tcPr>
          <w:p w:rsidR="00FE62A1" w:rsidRPr="00CD30FA" w:rsidRDefault="00FE62A1"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t>This study</w:t>
            </w:r>
          </w:p>
        </w:tc>
      </w:tr>
      <w:tr w:rsidR="00FE62A1" w:rsidRPr="00CD30FA" w:rsidTr="00402577">
        <w:trPr>
          <w:trHeight w:hRule="exact" w:val="227"/>
        </w:trPr>
        <w:tc>
          <w:tcPr>
            <w:tcW w:w="1343" w:type="dxa"/>
            <w:tcBorders>
              <w:top w:val="nil"/>
              <w:left w:val="nil"/>
              <w:bottom w:val="nil"/>
              <w:right w:val="nil"/>
            </w:tcBorders>
            <w:shd w:val="clear" w:color="auto" w:fill="auto"/>
            <w:noWrap/>
            <w:tcMar>
              <w:left w:w="0" w:type="dxa"/>
              <w:right w:w="0" w:type="dxa"/>
            </w:tcMar>
            <w:vAlign w:val="bottom"/>
            <w:hideMark/>
          </w:tcPr>
          <w:p w:rsidR="00FE62A1" w:rsidRPr="00CD30FA" w:rsidRDefault="00FE62A1"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t>RM3124</w:t>
            </w:r>
          </w:p>
        </w:tc>
        <w:tc>
          <w:tcPr>
            <w:tcW w:w="3219" w:type="dxa"/>
            <w:gridSpan w:val="2"/>
            <w:tcBorders>
              <w:top w:val="nil"/>
              <w:left w:val="nil"/>
              <w:bottom w:val="nil"/>
              <w:right w:val="nil"/>
            </w:tcBorders>
            <w:shd w:val="clear" w:color="auto" w:fill="auto"/>
            <w:noWrap/>
            <w:tcMar>
              <w:left w:w="0" w:type="dxa"/>
              <w:right w:w="0" w:type="dxa"/>
            </w:tcMar>
            <w:vAlign w:val="bottom"/>
            <w:hideMark/>
          </w:tcPr>
          <w:p w:rsidR="00FE62A1" w:rsidRPr="00CD30FA" w:rsidRDefault="00FE62A1"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t xml:space="preserve">HM1742, </w:t>
            </w:r>
            <w:proofErr w:type="spellStart"/>
            <w:r w:rsidRPr="00CD30FA">
              <w:rPr>
                <w:rFonts w:ascii="Times New Roman" w:hAnsi="Times New Roman" w:cs="Times New Roman"/>
                <w:sz w:val="16"/>
                <w:szCs w:val="16"/>
              </w:rPr>
              <w:t>Δ</w:t>
            </w:r>
            <w:proofErr w:type="gramStart"/>
            <w:r w:rsidRPr="00CD30FA">
              <w:rPr>
                <w:rFonts w:ascii="Times New Roman" w:hAnsi="Times New Roman" w:cs="Times New Roman"/>
                <w:i/>
                <w:iCs/>
                <w:sz w:val="16"/>
                <w:szCs w:val="16"/>
              </w:rPr>
              <w:t>secG</w:t>
            </w:r>
            <w:proofErr w:type="spellEnd"/>
            <w:r w:rsidRPr="00CD30FA">
              <w:rPr>
                <w:rFonts w:ascii="Times New Roman" w:hAnsi="Times New Roman" w:cs="Times New Roman"/>
                <w:sz w:val="16"/>
                <w:szCs w:val="16"/>
              </w:rPr>
              <w:t>::</w:t>
            </w:r>
            <w:proofErr w:type="spellStart"/>
            <w:proofErr w:type="gramEnd"/>
            <w:r w:rsidRPr="00CD30FA">
              <w:rPr>
                <w:rFonts w:ascii="Times New Roman" w:hAnsi="Times New Roman" w:cs="Times New Roman"/>
                <w:i/>
                <w:iCs/>
                <w:sz w:val="16"/>
                <w:szCs w:val="16"/>
              </w:rPr>
              <w:t>kan</w:t>
            </w:r>
            <w:proofErr w:type="spellEnd"/>
          </w:p>
        </w:tc>
        <w:tc>
          <w:tcPr>
            <w:tcW w:w="2951" w:type="dxa"/>
            <w:tcBorders>
              <w:top w:val="nil"/>
              <w:left w:val="nil"/>
              <w:bottom w:val="nil"/>
              <w:right w:val="nil"/>
            </w:tcBorders>
            <w:shd w:val="clear" w:color="auto" w:fill="auto"/>
            <w:noWrap/>
            <w:tcMar>
              <w:left w:w="0" w:type="dxa"/>
              <w:right w:w="0" w:type="dxa"/>
            </w:tcMar>
            <w:vAlign w:val="bottom"/>
            <w:hideMark/>
          </w:tcPr>
          <w:p w:rsidR="00FE62A1" w:rsidRPr="00CD30FA" w:rsidRDefault="00FE62A1" w:rsidP="00263BC9">
            <w:pPr>
              <w:spacing w:line="140" w:lineRule="exact"/>
              <w:rPr>
                <w:rFonts w:ascii="Times New Roman" w:hAnsi="Times New Roman" w:cs="Times New Roman"/>
                <w:sz w:val="16"/>
                <w:szCs w:val="16"/>
              </w:rPr>
            </w:pPr>
          </w:p>
        </w:tc>
        <w:tc>
          <w:tcPr>
            <w:tcW w:w="2007" w:type="dxa"/>
            <w:tcBorders>
              <w:top w:val="nil"/>
              <w:left w:val="nil"/>
              <w:bottom w:val="nil"/>
              <w:right w:val="nil"/>
            </w:tcBorders>
            <w:shd w:val="clear" w:color="auto" w:fill="auto"/>
            <w:noWrap/>
            <w:tcMar>
              <w:left w:w="0" w:type="dxa"/>
              <w:right w:w="0" w:type="dxa"/>
            </w:tcMar>
            <w:vAlign w:val="bottom"/>
            <w:hideMark/>
          </w:tcPr>
          <w:p w:rsidR="00FE62A1" w:rsidRPr="00CD30FA" w:rsidRDefault="00FE62A1"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t>This study</w:t>
            </w:r>
          </w:p>
        </w:tc>
      </w:tr>
      <w:tr w:rsidR="00FE62A1" w:rsidRPr="00CD30FA" w:rsidTr="00402577">
        <w:trPr>
          <w:trHeight w:hRule="exact" w:val="227"/>
        </w:trPr>
        <w:tc>
          <w:tcPr>
            <w:tcW w:w="1343" w:type="dxa"/>
            <w:tcBorders>
              <w:top w:val="nil"/>
              <w:left w:val="nil"/>
              <w:bottom w:val="nil"/>
              <w:right w:val="nil"/>
            </w:tcBorders>
            <w:shd w:val="clear" w:color="auto" w:fill="auto"/>
            <w:noWrap/>
            <w:tcMar>
              <w:left w:w="0" w:type="dxa"/>
              <w:right w:w="0" w:type="dxa"/>
            </w:tcMar>
            <w:vAlign w:val="bottom"/>
            <w:hideMark/>
          </w:tcPr>
          <w:p w:rsidR="00FE62A1" w:rsidRPr="00CD30FA" w:rsidRDefault="00FE62A1" w:rsidP="00263BC9">
            <w:pPr>
              <w:spacing w:line="140" w:lineRule="exact"/>
              <w:rPr>
                <w:rFonts w:ascii="Times New Roman" w:hAnsi="Times New Roman" w:cs="Times New Roman"/>
                <w:color w:val="000000"/>
                <w:sz w:val="16"/>
                <w:szCs w:val="16"/>
              </w:rPr>
            </w:pPr>
            <w:r w:rsidRPr="00CD30FA">
              <w:rPr>
                <w:rFonts w:ascii="Times New Roman" w:hAnsi="Times New Roman" w:cs="Times New Roman"/>
                <w:color w:val="000000"/>
                <w:sz w:val="16"/>
                <w:szCs w:val="16"/>
              </w:rPr>
              <w:t>HM3271</w:t>
            </w:r>
          </w:p>
        </w:tc>
        <w:tc>
          <w:tcPr>
            <w:tcW w:w="3219" w:type="dxa"/>
            <w:gridSpan w:val="2"/>
            <w:tcBorders>
              <w:top w:val="nil"/>
              <w:left w:val="nil"/>
              <w:bottom w:val="nil"/>
              <w:right w:val="nil"/>
            </w:tcBorders>
            <w:shd w:val="clear" w:color="auto" w:fill="auto"/>
            <w:noWrap/>
            <w:tcMar>
              <w:left w:w="0" w:type="dxa"/>
              <w:right w:w="0" w:type="dxa"/>
            </w:tcMar>
            <w:vAlign w:val="bottom"/>
            <w:hideMark/>
          </w:tcPr>
          <w:p w:rsidR="00FE62A1" w:rsidRPr="00CD30FA" w:rsidRDefault="00FE62A1" w:rsidP="00263BC9">
            <w:pPr>
              <w:spacing w:line="140" w:lineRule="exact"/>
              <w:rPr>
                <w:rFonts w:ascii="Times New Roman" w:hAnsi="Times New Roman" w:cs="Times New Roman"/>
                <w:color w:val="000000"/>
                <w:sz w:val="16"/>
                <w:szCs w:val="16"/>
              </w:rPr>
            </w:pPr>
            <w:r w:rsidRPr="00CD30FA">
              <w:rPr>
                <w:rFonts w:ascii="Times New Roman" w:hAnsi="Times New Roman" w:cs="Times New Roman"/>
                <w:color w:val="000000"/>
                <w:sz w:val="16"/>
                <w:szCs w:val="16"/>
              </w:rPr>
              <w:t xml:space="preserve">HM1742, </w:t>
            </w:r>
            <w:r w:rsidRPr="00CD30FA">
              <w:rPr>
                <w:rFonts w:ascii="Times New Roman" w:hAnsi="Times New Roman" w:cs="Times New Roman"/>
                <w:i/>
                <w:iCs/>
                <w:color w:val="000000"/>
                <w:sz w:val="16"/>
                <w:szCs w:val="16"/>
              </w:rPr>
              <w:t>secD1 zaj-</w:t>
            </w:r>
            <w:proofErr w:type="gramStart"/>
            <w:r w:rsidRPr="00CD30FA">
              <w:rPr>
                <w:rFonts w:ascii="Times New Roman" w:hAnsi="Times New Roman" w:cs="Times New Roman"/>
                <w:i/>
                <w:iCs/>
                <w:color w:val="000000"/>
                <w:sz w:val="16"/>
                <w:szCs w:val="16"/>
              </w:rPr>
              <w:t>3053</w:t>
            </w:r>
            <w:r w:rsidRPr="00CD30FA">
              <w:rPr>
                <w:rFonts w:ascii="Times New Roman" w:hAnsi="Times New Roman" w:cs="Times New Roman"/>
                <w:color w:val="000000"/>
                <w:sz w:val="16"/>
                <w:szCs w:val="16"/>
              </w:rPr>
              <w:t>::</w:t>
            </w:r>
            <w:proofErr w:type="gramEnd"/>
            <w:r w:rsidRPr="00CD30FA">
              <w:rPr>
                <w:rFonts w:ascii="Times New Roman" w:hAnsi="Times New Roman" w:cs="Times New Roman"/>
                <w:color w:val="000000"/>
                <w:sz w:val="16"/>
                <w:szCs w:val="16"/>
              </w:rPr>
              <w:t>Tn</w:t>
            </w:r>
            <w:r w:rsidRPr="00CD30FA">
              <w:rPr>
                <w:rFonts w:ascii="Times New Roman" w:hAnsi="Times New Roman" w:cs="Times New Roman"/>
                <w:i/>
                <w:iCs/>
                <w:color w:val="000000"/>
                <w:sz w:val="16"/>
                <w:szCs w:val="16"/>
              </w:rPr>
              <w:t>10</w:t>
            </w:r>
          </w:p>
        </w:tc>
        <w:tc>
          <w:tcPr>
            <w:tcW w:w="2951" w:type="dxa"/>
            <w:tcBorders>
              <w:top w:val="nil"/>
              <w:left w:val="nil"/>
              <w:bottom w:val="nil"/>
              <w:right w:val="nil"/>
            </w:tcBorders>
            <w:shd w:val="clear" w:color="auto" w:fill="auto"/>
            <w:noWrap/>
            <w:tcMar>
              <w:left w:w="0" w:type="dxa"/>
              <w:right w:w="0" w:type="dxa"/>
            </w:tcMar>
            <w:vAlign w:val="bottom"/>
            <w:hideMark/>
          </w:tcPr>
          <w:p w:rsidR="00FE62A1" w:rsidRPr="00CD30FA" w:rsidRDefault="00FE62A1" w:rsidP="00263BC9">
            <w:pPr>
              <w:spacing w:line="140" w:lineRule="exact"/>
              <w:rPr>
                <w:rFonts w:ascii="Times New Roman" w:hAnsi="Times New Roman" w:cs="Times New Roman"/>
                <w:color w:val="000000"/>
                <w:sz w:val="16"/>
                <w:szCs w:val="16"/>
              </w:rPr>
            </w:pPr>
          </w:p>
        </w:tc>
        <w:tc>
          <w:tcPr>
            <w:tcW w:w="2007" w:type="dxa"/>
            <w:tcBorders>
              <w:top w:val="nil"/>
              <w:left w:val="nil"/>
              <w:bottom w:val="nil"/>
              <w:right w:val="nil"/>
            </w:tcBorders>
            <w:shd w:val="clear" w:color="auto" w:fill="auto"/>
            <w:noWrap/>
            <w:tcMar>
              <w:left w:w="0" w:type="dxa"/>
              <w:right w:w="0" w:type="dxa"/>
            </w:tcMar>
            <w:vAlign w:val="bottom"/>
            <w:hideMark/>
          </w:tcPr>
          <w:p w:rsidR="00FE62A1" w:rsidRPr="00CD30FA" w:rsidRDefault="002A6990" w:rsidP="00263BC9">
            <w:pPr>
              <w:spacing w:line="140" w:lineRule="exact"/>
              <w:rPr>
                <w:rFonts w:ascii="Times New Roman" w:hAnsi="Times New Roman" w:cs="Times New Roman"/>
                <w:color w:val="000000"/>
                <w:sz w:val="16"/>
                <w:szCs w:val="16"/>
              </w:rPr>
            </w:pPr>
            <w:r w:rsidRPr="00CD30FA">
              <w:rPr>
                <w:rFonts w:ascii="Times New Roman" w:hAnsi="Times New Roman" w:cs="Times New Roman"/>
                <w:color w:val="000000"/>
                <w:sz w:val="16"/>
                <w:szCs w:val="16"/>
              </w:rPr>
              <w:fldChar w:fldCharType="begin" w:fldLock="1"/>
            </w:r>
            <w:r w:rsidR="00B66649">
              <w:rPr>
                <w:rFonts w:ascii="Times New Roman" w:hAnsi="Times New Roman" w:cs="Times New Roman"/>
                <w:color w:val="000000"/>
                <w:sz w:val="16"/>
                <w:szCs w:val="16"/>
              </w:rPr>
              <w:instrText>ADDIN CSL_CITATION {"citationItems":[{"id":"ITEM-1","itemData":{"DOI":"10.1038/nature09980","ISSN":"1476-4687 (Electronic)","PMID":"21562494","abstract":"Protein translocation across the bacterial membrane, mediated by the secretory  translocon SecYEG and the SecA ATPase, is enhanced by proton motive force and membrane-integrated SecDF, which associates with SecYEG. The role of SecDF has remained unclear, although it is proposed to function in later stages of translocation as well as in membrane protein biogenesis. Here, we determined the crystal structure of Thermus thermophilus SecDF at 3.3 Å resolution, revealing a pseudo-symmetrical, 12-helix transmembrane domain belonging to the RND superfamily and two major periplasmic domains, P1 and P4. Higher-resolution analysis of the periplasmic domains suggested that P1, which binds an unfolded protein, undergoes functionally important conformational changes. In vitro analyses identified an ATP-independent step of protein translocation that requires both SecDF and proton motive force. Electrophysiological analyses revealed that SecDF conducts protons in a manner dependent on pH and the presence of an unfolded protein, with conserved Asp and Arg residues at the transmembrane interface between SecD and SecF playing essential roles in the movements of protons and preproteins. Therefore, we propose that SecDF functions as a membrane-integrated chaperone, powered by proton motive force, to achieve ATP-independent protein translocation.","author":[{"dropping-particle":"","family":"Tsukazaki","given":"Tomoya","non-dropping-particle":"","parse-names":false,"suffix":""},{"dropping-particle":"","family":"Mori","given":"Hiroyuki","non-dropping-particle":"","parse-names":false,"suffix":""},{"dropping-particle":"","family":"Echizen","given":"Yuka","non-dropping-particle":"","parse-names":false,"suffix":""},{"dropping-particle":"","family":"Ishitani","given":"Ryuichiro","non-dropping-particle":"","parse-names":false,"suffix":""},{"dropping-particle":"","family":"Fukai","given":"Shuya","non-dropping-particle":"","parse-names":false,"suffix":""},{"dropping-particle":"","family":"Tanaka","given":"Takeshi","non-dropping-particle":"","parse-names":false,"suffix":""},{"dropping-particle":"","family":"Perederina","given":"Anna","non-dropping-particle":"","parse-names":false,"suffix":""},{"dropping-particle":"","family":"Vassylyev","given":"Dmitry G","non-dropping-particle":"","parse-names":false,"suffix":""},{"dropping-particle":"","family":"Kohno","given":"Toshiyuki","non-dropping-particle":"","parse-names":false,"suffix":""},{"dropping-particle":"","family":"Maturana","given":"Andrés D","non-dropping-particle":"","parse-names":false,"suffix":""},{"dropping-particle":"","family":"Ito","given":"Koreaki","non-dropping-particle":"","parse-names":false,"suffix":""},{"dropping-particle":"","family":"Nureki","given":"Osamu","non-dropping-particle":"","parse-names":false,"suffix":""}],"container-title":"Nature","id":"ITEM-1","issue":"7350","issued":{"date-parts":[["2011","5"]]},"language":"eng","page":"235-238","title":"Structure and function of a membrane component SecDF that enhances protein export.","type":"article-journal","volume":"474"},"uris":["http://www.mendeley.com/documents/?uuid=9d714ccf-4564-432e-a567-cd7dfe315358"]}],"mendeley":{"formattedCitation":"(Tsukazaki et al., 2011)","plainTextFormattedCitation":"(Tsukazaki et al., 2011)","previouslyFormattedCitation":"(Tsukazaki et al., 2011)"},"properties":{"noteIndex":0},"schema":"https://github.com/citation-style-language/schema/raw/master/csl-citation.json"}</w:instrText>
            </w:r>
            <w:r w:rsidRPr="00CD30FA">
              <w:rPr>
                <w:rFonts w:ascii="Times New Roman" w:hAnsi="Times New Roman" w:cs="Times New Roman"/>
                <w:color w:val="000000"/>
                <w:sz w:val="16"/>
                <w:szCs w:val="16"/>
              </w:rPr>
              <w:fldChar w:fldCharType="separate"/>
            </w:r>
            <w:r w:rsidR="00B66649" w:rsidRPr="00B66649">
              <w:rPr>
                <w:rFonts w:ascii="Times New Roman" w:hAnsi="Times New Roman" w:cs="Times New Roman"/>
                <w:noProof/>
                <w:color w:val="000000"/>
                <w:sz w:val="16"/>
                <w:szCs w:val="16"/>
              </w:rPr>
              <w:t>(Tsukazaki et al., 2011)</w:t>
            </w:r>
            <w:r w:rsidRPr="00CD30FA">
              <w:rPr>
                <w:rFonts w:ascii="Times New Roman" w:hAnsi="Times New Roman" w:cs="Times New Roman"/>
                <w:color w:val="000000"/>
                <w:sz w:val="16"/>
                <w:szCs w:val="16"/>
              </w:rPr>
              <w:fldChar w:fldCharType="end"/>
            </w:r>
          </w:p>
        </w:tc>
      </w:tr>
      <w:tr w:rsidR="00FE62A1" w:rsidRPr="00CD30FA" w:rsidTr="00402577">
        <w:trPr>
          <w:trHeight w:hRule="exact" w:val="227"/>
        </w:trPr>
        <w:tc>
          <w:tcPr>
            <w:tcW w:w="1343" w:type="dxa"/>
            <w:tcBorders>
              <w:top w:val="nil"/>
              <w:left w:val="nil"/>
              <w:bottom w:val="nil"/>
              <w:right w:val="nil"/>
            </w:tcBorders>
            <w:shd w:val="clear" w:color="auto" w:fill="auto"/>
            <w:noWrap/>
            <w:tcMar>
              <w:left w:w="0" w:type="dxa"/>
              <w:right w:w="0" w:type="dxa"/>
            </w:tcMar>
            <w:vAlign w:val="bottom"/>
            <w:hideMark/>
          </w:tcPr>
          <w:p w:rsidR="00FE62A1" w:rsidRPr="00CD30FA" w:rsidRDefault="00FE62A1"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t>HM4108</w:t>
            </w:r>
          </w:p>
        </w:tc>
        <w:tc>
          <w:tcPr>
            <w:tcW w:w="3219" w:type="dxa"/>
            <w:gridSpan w:val="2"/>
            <w:tcBorders>
              <w:top w:val="nil"/>
              <w:left w:val="nil"/>
              <w:bottom w:val="nil"/>
              <w:right w:val="nil"/>
            </w:tcBorders>
            <w:shd w:val="clear" w:color="auto" w:fill="auto"/>
            <w:noWrap/>
            <w:tcMar>
              <w:left w:w="0" w:type="dxa"/>
              <w:right w:w="0" w:type="dxa"/>
            </w:tcMar>
            <w:vAlign w:val="bottom"/>
            <w:hideMark/>
          </w:tcPr>
          <w:p w:rsidR="00FE62A1" w:rsidRPr="00CD30FA" w:rsidRDefault="00FE62A1"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t xml:space="preserve">HM1742, </w:t>
            </w:r>
            <w:proofErr w:type="spellStart"/>
            <w:r w:rsidRPr="00CD30FA">
              <w:rPr>
                <w:rFonts w:ascii="Times New Roman" w:hAnsi="Times New Roman" w:cs="Times New Roman"/>
                <w:i/>
                <w:iCs/>
                <w:sz w:val="16"/>
                <w:szCs w:val="16"/>
              </w:rPr>
              <w:t>secY</w:t>
            </w:r>
            <w:proofErr w:type="spellEnd"/>
            <w:r w:rsidRPr="00CD30FA">
              <w:rPr>
                <w:rFonts w:ascii="Times New Roman" w:hAnsi="Times New Roman" w:cs="Times New Roman"/>
                <w:sz w:val="16"/>
                <w:szCs w:val="16"/>
                <w:vertAlign w:val="superscript"/>
              </w:rPr>
              <w:t>+</w:t>
            </w:r>
            <w:r w:rsidRPr="00CD30FA">
              <w:rPr>
                <w:rFonts w:ascii="Times New Roman" w:hAnsi="Times New Roman" w:cs="Times New Roman"/>
                <w:sz w:val="16"/>
                <w:szCs w:val="16"/>
              </w:rPr>
              <w:t xml:space="preserve"> </w:t>
            </w:r>
            <w:proofErr w:type="spellStart"/>
            <w:r w:rsidRPr="00CD30FA">
              <w:rPr>
                <w:rFonts w:ascii="Times New Roman" w:hAnsi="Times New Roman" w:cs="Times New Roman"/>
                <w:i/>
                <w:iCs/>
                <w:sz w:val="16"/>
                <w:szCs w:val="16"/>
              </w:rPr>
              <w:t>rpsE</w:t>
            </w:r>
            <w:proofErr w:type="spellEnd"/>
            <w:r w:rsidRPr="00CD30FA">
              <w:rPr>
                <w:rFonts w:ascii="Times New Roman" w:hAnsi="Times New Roman" w:cs="Times New Roman"/>
                <w:sz w:val="16"/>
                <w:szCs w:val="16"/>
              </w:rPr>
              <w:t xml:space="preserve"> </w:t>
            </w:r>
            <w:r w:rsidRPr="00CD30FA">
              <w:rPr>
                <w:rFonts w:ascii="Times New Roman" w:hAnsi="Times New Roman" w:cs="Times New Roman"/>
                <w:i/>
                <w:iCs/>
                <w:sz w:val="16"/>
                <w:szCs w:val="16"/>
              </w:rPr>
              <w:t>zhd-</w:t>
            </w:r>
            <w:proofErr w:type="gramStart"/>
            <w:r w:rsidRPr="00CD30FA">
              <w:rPr>
                <w:rFonts w:ascii="Times New Roman" w:hAnsi="Times New Roman" w:cs="Times New Roman"/>
                <w:i/>
                <w:iCs/>
                <w:sz w:val="16"/>
                <w:szCs w:val="16"/>
              </w:rPr>
              <w:t>33</w:t>
            </w:r>
            <w:r w:rsidRPr="00CD30FA">
              <w:rPr>
                <w:rFonts w:ascii="Times New Roman" w:hAnsi="Times New Roman" w:cs="Times New Roman"/>
                <w:sz w:val="16"/>
                <w:szCs w:val="16"/>
              </w:rPr>
              <w:t>::</w:t>
            </w:r>
            <w:proofErr w:type="gramEnd"/>
            <w:r w:rsidRPr="00CD30FA">
              <w:rPr>
                <w:rFonts w:ascii="Times New Roman" w:hAnsi="Times New Roman" w:cs="Times New Roman"/>
                <w:sz w:val="16"/>
                <w:szCs w:val="16"/>
              </w:rPr>
              <w:t>Tn</w:t>
            </w:r>
            <w:r w:rsidRPr="00CD30FA">
              <w:rPr>
                <w:rFonts w:ascii="Times New Roman" w:hAnsi="Times New Roman" w:cs="Times New Roman"/>
                <w:i/>
                <w:iCs/>
                <w:sz w:val="16"/>
                <w:szCs w:val="16"/>
              </w:rPr>
              <w:t>10</w:t>
            </w:r>
          </w:p>
        </w:tc>
        <w:tc>
          <w:tcPr>
            <w:tcW w:w="2951" w:type="dxa"/>
            <w:tcBorders>
              <w:top w:val="nil"/>
              <w:left w:val="nil"/>
              <w:bottom w:val="nil"/>
              <w:right w:val="nil"/>
            </w:tcBorders>
            <w:shd w:val="clear" w:color="auto" w:fill="auto"/>
            <w:noWrap/>
            <w:tcMar>
              <w:left w:w="0" w:type="dxa"/>
              <w:right w:w="0" w:type="dxa"/>
            </w:tcMar>
            <w:vAlign w:val="bottom"/>
            <w:hideMark/>
          </w:tcPr>
          <w:p w:rsidR="00FE62A1" w:rsidRPr="00CD30FA" w:rsidRDefault="00FE62A1" w:rsidP="00263BC9">
            <w:pPr>
              <w:spacing w:line="140" w:lineRule="exact"/>
              <w:rPr>
                <w:rFonts w:ascii="Times New Roman" w:hAnsi="Times New Roman" w:cs="Times New Roman"/>
                <w:sz w:val="16"/>
                <w:szCs w:val="16"/>
              </w:rPr>
            </w:pPr>
          </w:p>
        </w:tc>
        <w:tc>
          <w:tcPr>
            <w:tcW w:w="2007" w:type="dxa"/>
            <w:tcBorders>
              <w:top w:val="nil"/>
              <w:left w:val="nil"/>
              <w:bottom w:val="nil"/>
              <w:right w:val="nil"/>
            </w:tcBorders>
            <w:shd w:val="clear" w:color="auto" w:fill="auto"/>
            <w:noWrap/>
            <w:tcMar>
              <w:left w:w="0" w:type="dxa"/>
              <w:right w:w="0" w:type="dxa"/>
            </w:tcMar>
            <w:vAlign w:val="bottom"/>
            <w:hideMark/>
          </w:tcPr>
          <w:p w:rsidR="00FE62A1" w:rsidRPr="00CD30FA" w:rsidRDefault="002A6990"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fldChar w:fldCharType="begin" w:fldLock="1"/>
            </w:r>
            <w:r w:rsidR="00B66649">
              <w:rPr>
                <w:rFonts w:ascii="Times New Roman" w:hAnsi="Times New Roman" w:cs="Times New Roman"/>
                <w:sz w:val="16"/>
                <w:szCs w:val="16"/>
              </w:rPr>
              <w:instrText>ADDIN CSL_CITATION {"citationItems":[{"id":"ITEM-1","itemData":{"DOI":"10.1074/jbc.M117.816561","ISSN":"1083-351X (Electronic)","PMID":"29317498","abstract":"VemP ( Vibrio protein export monitoring polypeptide) is a secretory protein comprising 159 amino acid residues, which functions as a secretion monitor in Vibrio and regulates expression of the downstream V.secDF2 genes. When VemP export is compromised, its translation specifically undergoes elongation arrest at the position where the Gln(156) codon of vemP encounters the P-site in the translating ribosome, resulting in up-regulation of V.SecDF2 production. Although our previous study suggests that many residues in a highly conserved C-terminal 20-residue region of VemP contribute to its elongation arrest, the exact role of each residue remains unclear. Here, we constructed a reporter system to easily and exactly monitor the in vivo arrest efficiency of VemP. Using this reporter system, we systematically performed a mutational analysis of the 20 residues (His(138)-Phe(157)) to identify and characterize the arrest motif. Our results show that 15 residues in the conserved region participate in elongation arrest and that multiple interactions between important residues in VemP and in the interior of the exit tunnel contribute to the elongation arrest of VemP. The arrangement of these important residues induced by specific secondary structures in the ribosomal tunnel is critical for the arrest. Pro scanning analysis of the preceding segment (Met(120)-Phe(137)) revealed a minor role of this region in the arrest. Considering these results, we conclude that the arrest motif in VemP is mainly composed of the highly conserved multiple residues in the C-terminal region.","author":[{"dropping-particle":"","family":"Mori","given":"Hiroyuki","non-dropping-particle":"","parse-names":false,"suffix":""},{"dropping-particle":"","family":"Sakashita","given":"Sohei","non-dropping-particle":"","parse-names":false,"suffix":""},{"dropping-particle":"","family":"Ito","given":"Jun","non-dropping-particle":"","parse-names":false,"suffix":""},{"dropping-particle":"","family":"Ishii","given":"Eiji","non-dropping-particle":"","parse-names":false,"suffix":""},{"dropping-particle":"","family":"Akiyama","given":"Yoshinori","non-dropping-particle":"","parse-names":false,"suffix":""}],"container-title":"The Journal of biological chemistry","id":"ITEM-1","issue":"8","issued":{"date-parts":[["2018","2"]]},"language":"eng","page":"2915-2926","title":"Identification and characterization of a translation arrest motif in VemP by systematic mutational analysis.","type":"article-journal","volume":"293"},"uris":["http://www.mendeley.com/documents/?uuid=00e533b0-fc9b-494c-9f58-915300db1c85"]}],"mendeley":{"formattedCitation":"(Mori et al., 2018)","plainTextFormattedCitation":"(Mori et al., 2018)","previouslyFormattedCitation":"(Mori et al., 2018)"},"properties":{"noteIndex":0},"schema":"https://github.com/citation-style-language/schema/raw/master/csl-citation.json"}</w:instrText>
            </w:r>
            <w:r w:rsidRPr="00CD30FA">
              <w:rPr>
                <w:rFonts w:ascii="Times New Roman" w:hAnsi="Times New Roman" w:cs="Times New Roman"/>
                <w:sz w:val="16"/>
                <w:szCs w:val="16"/>
              </w:rPr>
              <w:fldChar w:fldCharType="separate"/>
            </w:r>
            <w:r w:rsidR="00B66649" w:rsidRPr="00B66649">
              <w:rPr>
                <w:rFonts w:ascii="Times New Roman" w:hAnsi="Times New Roman" w:cs="Times New Roman"/>
                <w:noProof/>
                <w:sz w:val="16"/>
                <w:szCs w:val="16"/>
              </w:rPr>
              <w:t>(Mori et al., 2018)</w:t>
            </w:r>
            <w:r w:rsidRPr="00CD30FA">
              <w:rPr>
                <w:rFonts w:ascii="Times New Roman" w:hAnsi="Times New Roman" w:cs="Times New Roman"/>
                <w:sz w:val="16"/>
                <w:szCs w:val="16"/>
              </w:rPr>
              <w:fldChar w:fldCharType="end"/>
            </w:r>
          </w:p>
        </w:tc>
      </w:tr>
      <w:tr w:rsidR="00FE62A1" w:rsidRPr="00CD30FA" w:rsidTr="00402577">
        <w:trPr>
          <w:trHeight w:hRule="exact" w:val="227"/>
        </w:trPr>
        <w:tc>
          <w:tcPr>
            <w:tcW w:w="1343" w:type="dxa"/>
            <w:tcBorders>
              <w:top w:val="nil"/>
              <w:left w:val="nil"/>
              <w:bottom w:val="nil"/>
              <w:right w:val="nil"/>
            </w:tcBorders>
            <w:shd w:val="clear" w:color="auto" w:fill="auto"/>
            <w:noWrap/>
            <w:tcMar>
              <w:left w:w="0" w:type="dxa"/>
              <w:right w:w="0" w:type="dxa"/>
            </w:tcMar>
            <w:vAlign w:val="bottom"/>
            <w:hideMark/>
          </w:tcPr>
          <w:p w:rsidR="00FE62A1" w:rsidRPr="00CD30FA" w:rsidRDefault="00FE62A1"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t>HM4109</w:t>
            </w:r>
          </w:p>
        </w:tc>
        <w:tc>
          <w:tcPr>
            <w:tcW w:w="6170" w:type="dxa"/>
            <w:gridSpan w:val="3"/>
            <w:tcBorders>
              <w:top w:val="nil"/>
              <w:left w:val="nil"/>
              <w:bottom w:val="nil"/>
              <w:right w:val="nil"/>
            </w:tcBorders>
            <w:shd w:val="clear" w:color="auto" w:fill="auto"/>
            <w:noWrap/>
            <w:tcMar>
              <w:left w:w="0" w:type="dxa"/>
              <w:right w:w="0" w:type="dxa"/>
            </w:tcMar>
            <w:vAlign w:val="bottom"/>
            <w:hideMark/>
          </w:tcPr>
          <w:p w:rsidR="00FE62A1" w:rsidRPr="00CD30FA" w:rsidRDefault="00FE62A1"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t xml:space="preserve">HM1742, </w:t>
            </w:r>
            <w:r w:rsidRPr="00CD30FA">
              <w:rPr>
                <w:rFonts w:ascii="Times New Roman" w:hAnsi="Times New Roman" w:cs="Times New Roman"/>
                <w:i/>
                <w:iCs/>
                <w:sz w:val="16"/>
                <w:szCs w:val="16"/>
              </w:rPr>
              <w:t>secY24</w:t>
            </w:r>
            <w:r w:rsidRPr="00CD30FA">
              <w:rPr>
                <w:rFonts w:ascii="Times New Roman" w:hAnsi="Times New Roman" w:cs="Times New Roman"/>
                <w:sz w:val="16"/>
                <w:szCs w:val="16"/>
              </w:rPr>
              <w:t xml:space="preserve"> </w:t>
            </w:r>
            <w:proofErr w:type="spellStart"/>
            <w:r w:rsidRPr="00CD30FA">
              <w:rPr>
                <w:rFonts w:ascii="Times New Roman" w:hAnsi="Times New Roman" w:cs="Times New Roman"/>
                <w:i/>
                <w:iCs/>
                <w:sz w:val="16"/>
                <w:szCs w:val="16"/>
              </w:rPr>
              <w:t>rpsE</w:t>
            </w:r>
            <w:proofErr w:type="spellEnd"/>
            <w:r w:rsidRPr="00CD30FA">
              <w:rPr>
                <w:rFonts w:ascii="Times New Roman" w:hAnsi="Times New Roman" w:cs="Times New Roman"/>
                <w:sz w:val="16"/>
                <w:szCs w:val="16"/>
              </w:rPr>
              <w:t xml:space="preserve"> </w:t>
            </w:r>
            <w:r w:rsidRPr="00CD30FA">
              <w:rPr>
                <w:rFonts w:ascii="Times New Roman" w:hAnsi="Times New Roman" w:cs="Times New Roman"/>
                <w:i/>
                <w:iCs/>
                <w:sz w:val="16"/>
                <w:szCs w:val="16"/>
              </w:rPr>
              <w:t>zhd-</w:t>
            </w:r>
            <w:proofErr w:type="gramStart"/>
            <w:r w:rsidRPr="00CD30FA">
              <w:rPr>
                <w:rFonts w:ascii="Times New Roman" w:hAnsi="Times New Roman" w:cs="Times New Roman"/>
                <w:i/>
                <w:iCs/>
                <w:sz w:val="16"/>
                <w:szCs w:val="16"/>
              </w:rPr>
              <w:t>33</w:t>
            </w:r>
            <w:r w:rsidRPr="00CD30FA">
              <w:rPr>
                <w:rFonts w:ascii="Times New Roman" w:hAnsi="Times New Roman" w:cs="Times New Roman"/>
                <w:sz w:val="16"/>
                <w:szCs w:val="16"/>
              </w:rPr>
              <w:t>::</w:t>
            </w:r>
            <w:proofErr w:type="gramEnd"/>
            <w:r w:rsidRPr="00CD30FA">
              <w:rPr>
                <w:rFonts w:ascii="Times New Roman" w:hAnsi="Times New Roman" w:cs="Times New Roman"/>
                <w:sz w:val="16"/>
                <w:szCs w:val="16"/>
              </w:rPr>
              <w:t>Tn</w:t>
            </w:r>
            <w:r w:rsidRPr="00CD30FA">
              <w:rPr>
                <w:rFonts w:ascii="Times New Roman" w:hAnsi="Times New Roman" w:cs="Times New Roman"/>
                <w:i/>
                <w:iCs/>
                <w:sz w:val="16"/>
                <w:szCs w:val="16"/>
              </w:rPr>
              <w:t>10</w:t>
            </w:r>
          </w:p>
        </w:tc>
        <w:tc>
          <w:tcPr>
            <w:tcW w:w="2007" w:type="dxa"/>
            <w:tcBorders>
              <w:top w:val="nil"/>
              <w:left w:val="nil"/>
              <w:bottom w:val="nil"/>
              <w:right w:val="nil"/>
            </w:tcBorders>
            <w:shd w:val="clear" w:color="auto" w:fill="auto"/>
            <w:noWrap/>
            <w:tcMar>
              <w:left w:w="0" w:type="dxa"/>
              <w:right w:w="0" w:type="dxa"/>
            </w:tcMar>
            <w:vAlign w:val="bottom"/>
            <w:hideMark/>
          </w:tcPr>
          <w:p w:rsidR="00FE62A1" w:rsidRPr="00CD30FA" w:rsidRDefault="002A6990"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fldChar w:fldCharType="begin" w:fldLock="1"/>
            </w:r>
            <w:r w:rsidR="00B66649">
              <w:rPr>
                <w:rFonts w:ascii="Times New Roman" w:hAnsi="Times New Roman" w:cs="Times New Roman"/>
                <w:sz w:val="16"/>
                <w:szCs w:val="16"/>
              </w:rPr>
              <w:instrText>ADDIN CSL_CITATION {"citationItems":[{"id":"ITEM-1","itemData":{"DOI":"10.1074/jbc.M117.816561","ISSN":"1083-351X (Electronic)","PMID":"29317498","abstract":"VemP ( Vibrio protein export monitoring polypeptide) is a secretory protein comprising 159 amino acid residues, which functions as a secretion monitor in Vibrio and regulates expression of the downstream V.secDF2 genes. When VemP export is compromised, its translation specifically undergoes elongation arrest at the position where the Gln(156) codon of vemP encounters the P-site in the translating ribosome, resulting in up-regulation of V.SecDF2 production. Although our previous study suggests that many residues in a highly conserved C-terminal 20-residue region of VemP contribute to its elongation arrest, the exact role of each residue remains unclear. Here, we constructed a reporter system to easily and exactly monitor the in vivo arrest efficiency of VemP. Using this reporter system, we systematically performed a mutational analysis of the 20 residues (His(138)-Phe(157)) to identify and characterize the arrest motif. Our results show that 15 residues in the conserved region participate in elongation arrest and that multiple interactions between important residues in VemP and in the interior of the exit tunnel contribute to the elongation arrest of VemP. The arrangement of these important residues induced by specific secondary structures in the ribosomal tunnel is critical for the arrest. Pro scanning analysis of the preceding segment (Met(120)-Phe(137)) revealed a minor role of this region in the arrest. Considering these results, we conclude that the arrest motif in VemP is mainly composed of the highly conserved multiple residues in the C-terminal region.","author":[{"dropping-particle":"","family":"Mori","given":"Hiroyuki","non-dropping-particle":"","parse-names":false,"suffix":""},{"dropping-particle":"","family":"Sakashita","given":"Sohei","non-dropping-particle":"","parse-names":false,"suffix":""},{"dropping-particle":"","family":"Ito","given":"Jun","non-dropping-particle":"","parse-names":false,"suffix":""},{"dropping-particle":"","family":"Ishii","given":"Eiji","non-dropping-particle":"","parse-names":false,"suffix":""},{"dropping-particle":"","family":"Akiyama","given":"Yoshinori","non-dropping-particle":"","parse-names":false,"suffix":""}],"container-title":"The Journal of biological chemistry","id":"ITEM-1","issue":"8","issued":{"date-parts":[["2018","2"]]},"language":"eng","page":"2915-2926","title":"Identification and characterization of a translation arrest motif in VemP by systematic mutational analysis.","type":"article-journal","volume":"293"},"uris":["http://www.mendeley.com/documents/?uuid=00e533b0-fc9b-494c-9f58-915300db1c85"]}],"mendeley":{"formattedCitation":"(Mori et al., 2018)","plainTextFormattedCitation":"(Mori et al., 2018)","previouslyFormattedCitation":"(Mori et al., 2018)"},"properties":{"noteIndex":0},"schema":"https://github.com/citation-style-language/schema/raw/master/csl-citation.json"}</w:instrText>
            </w:r>
            <w:r w:rsidRPr="00CD30FA">
              <w:rPr>
                <w:rFonts w:ascii="Times New Roman" w:hAnsi="Times New Roman" w:cs="Times New Roman"/>
                <w:sz w:val="16"/>
                <w:szCs w:val="16"/>
              </w:rPr>
              <w:fldChar w:fldCharType="separate"/>
            </w:r>
            <w:r w:rsidR="00B66649" w:rsidRPr="00B66649">
              <w:rPr>
                <w:rFonts w:ascii="Times New Roman" w:hAnsi="Times New Roman" w:cs="Times New Roman"/>
                <w:noProof/>
                <w:sz w:val="16"/>
                <w:szCs w:val="16"/>
              </w:rPr>
              <w:t>(Mori et al., 2018)</w:t>
            </w:r>
            <w:r w:rsidRPr="00CD30FA">
              <w:rPr>
                <w:rFonts w:ascii="Times New Roman" w:hAnsi="Times New Roman" w:cs="Times New Roman"/>
                <w:sz w:val="16"/>
                <w:szCs w:val="16"/>
              </w:rPr>
              <w:fldChar w:fldCharType="end"/>
            </w:r>
          </w:p>
        </w:tc>
      </w:tr>
      <w:tr w:rsidR="00B70CAE" w:rsidRPr="00CD30FA" w:rsidTr="005B3E91">
        <w:trPr>
          <w:trHeight w:hRule="exact" w:val="227"/>
        </w:trPr>
        <w:tc>
          <w:tcPr>
            <w:tcW w:w="1343" w:type="dxa"/>
            <w:tcBorders>
              <w:top w:val="nil"/>
              <w:left w:val="nil"/>
              <w:bottom w:val="nil"/>
              <w:right w:val="nil"/>
            </w:tcBorders>
            <w:shd w:val="clear" w:color="auto" w:fill="auto"/>
            <w:noWrap/>
            <w:tcMar>
              <w:left w:w="0" w:type="dxa"/>
              <w:right w:w="0" w:type="dxa"/>
            </w:tcMar>
            <w:vAlign w:val="bottom"/>
          </w:tcPr>
          <w:p w:rsidR="00B70CAE" w:rsidRPr="00402577" w:rsidRDefault="00B70CAE" w:rsidP="00263BC9">
            <w:pPr>
              <w:spacing w:line="140" w:lineRule="exact"/>
              <w:rPr>
                <w:rFonts w:ascii="Times New Roman" w:hAnsi="Times New Roman" w:cs="Times New Roman"/>
                <w:sz w:val="16"/>
                <w:szCs w:val="16"/>
              </w:rPr>
            </w:pPr>
            <w:r w:rsidRPr="00402577">
              <w:rPr>
                <w:rFonts w:ascii="Times New Roman" w:hAnsi="Times New Roman" w:cs="Times New Roman"/>
                <w:sz w:val="16"/>
                <w:szCs w:val="16"/>
              </w:rPr>
              <w:t>HM</w:t>
            </w:r>
            <w:r w:rsidR="00EC6D32" w:rsidRPr="00402577">
              <w:rPr>
                <w:rFonts w:ascii="Times New Roman" w:hAnsi="Times New Roman" w:cs="Times New Roman"/>
                <w:sz w:val="16"/>
                <w:szCs w:val="16"/>
              </w:rPr>
              <w:t>4798</w:t>
            </w:r>
          </w:p>
        </w:tc>
        <w:tc>
          <w:tcPr>
            <w:tcW w:w="6170" w:type="dxa"/>
            <w:gridSpan w:val="3"/>
            <w:tcBorders>
              <w:top w:val="nil"/>
              <w:left w:val="nil"/>
              <w:bottom w:val="nil"/>
              <w:right w:val="nil"/>
            </w:tcBorders>
            <w:shd w:val="clear" w:color="auto" w:fill="auto"/>
            <w:noWrap/>
            <w:tcMar>
              <w:left w:w="0" w:type="dxa"/>
              <w:right w:w="0" w:type="dxa"/>
            </w:tcMar>
            <w:vAlign w:val="bottom"/>
          </w:tcPr>
          <w:p w:rsidR="00B70CAE" w:rsidRPr="00402577" w:rsidRDefault="00EC6D32" w:rsidP="00263BC9">
            <w:pPr>
              <w:spacing w:line="140" w:lineRule="exact"/>
              <w:rPr>
                <w:rFonts w:ascii="Times New Roman" w:hAnsi="Times New Roman" w:cs="Times New Roman"/>
                <w:sz w:val="16"/>
                <w:szCs w:val="16"/>
              </w:rPr>
            </w:pPr>
            <w:r w:rsidRPr="00402577">
              <w:rPr>
                <w:rFonts w:ascii="Times New Roman" w:hAnsi="Times New Roman" w:cs="Times New Roman"/>
                <w:sz w:val="16"/>
                <w:szCs w:val="16"/>
              </w:rPr>
              <w:t xml:space="preserve">HM1742, </w:t>
            </w:r>
            <w:proofErr w:type="spellStart"/>
            <w:r w:rsidRPr="00402577">
              <w:rPr>
                <w:rFonts w:ascii="Times New Roman" w:hAnsi="Times New Roman" w:cs="Times New Roman"/>
                <w:sz w:val="16"/>
                <w:szCs w:val="16"/>
              </w:rPr>
              <w:t>Δ</w:t>
            </w:r>
            <w:proofErr w:type="gramStart"/>
            <w:r w:rsidRPr="00402577">
              <w:rPr>
                <w:rFonts w:ascii="Times New Roman" w:hAnsi="Times New Roman" w:cs="Times New Roman"/>
                <w:i/>
                <w:iCs/>
                <w:sz w:val="16"/>
                <w:szCs w:val="16"/>
              </w:rPr>
              <w:t>secB</w:t>
            </w:r>
            <w:proofErr w:type="spellEnd"/>
            <w:r w:rsidRPr="00402577">
              <w:rPr>
                <w:rFonts w:ascii="Times New Roman" w:hAnsi="Times New Roman" w:cs="Times New Roman"/>
                <w:sz w:val="16"/>
                <w:szCs w:val="16"/>
              </w:rPr>
              <w:t>::</w:t>
            </w:r>
            <w:proofErr w:type="gramEnd"/>
            <w:r w:rsidR="0011080A" w:rsidRPr="00402577">
              <w:rPr>
                <w:rFonts w:ascii="Times New Roman" w:hAnsi="Times New Roman" w:cs="Times New Roman"/>
                <w:iCs/>
                <w:sz w:val="16"/>
                <w:szCs w:val="16"/>
              </w:rPr>
              <w:t>FRT</w:t>
            </w:r>
          </w:p>
        </w:tc>
        <w:tc>
          <w:tcPr>
            <w:tcW w:w="2007" w:type="dxa"/>
            <w:tcBorders>
              <w:top w:val="nil"/>
              <w:left w:val="nil"/>
              <w:bottom w:val="nil"/>
              <w:right w:val="nil"/>
            </w:tcBorders>
            <w:shd w:val="clear" w:color="auto" w:fill="auto"/>
            <w:noWrap/>
            <w:tcMar>
              <w:left w:w="0" w:type="dxa"/>
              <w:right w:w="0" w:type="dxa"/>
            </w:tcMar>
            <w:vAlign w:val="bottom"/>
          </w:tcPr>
          <w:p w:rsidR="00B70CAE" w:rsidRPr="00402577" w:rsidRDefault="00EC6D32" w:rsidP="00263BC9">
            <w:pPr>
              <w:spacing w:line="140" w:lineRule="exact"/>
              <w:rPr>
                <w:rFonts w:ascii="Times New Roman" w:hAnsi="Times New Roman" w:cs="Times New Roman"/>
                <w:sz w:val="16"/>
                <w:szCs w:val="16"/>
              </w:rPr>
            </w:pPr>
            <w:r w:rsidRPr="00402577">
              <w:rPr>
                <w:rFonts w:ascii="Times New Roman" w:hAnsi="Times New Roman" w:cs="Times New Roman"/>
                <w:sz w:val="16"/>
                <w:szCs w:val="16"/>
              </w:rPr>
              <w:t>This study</w:t>
            </w:r>
          </w:p>
        </w:tc>
      </w:tr>
      <w:tr w:rsidR="00FE62A1" w:rsidRPr="00CD30FA" w:rsidTr="00402577">
        <w:trPr>
          <w:trHeight w:hRule="exact" w:val="227"/>
        </w:trPr>
        <w:tc>
          <w:tcPr>
            <w:tcW w:w="1343" w:type="dxa"/>
            <w:tcBorders>
              <w:top w:val="nil"/>
              <w:left w:val="nil"/>
              <w:bottom w:val="nil"/>
              <w:right w:val="nil"/>
            </w:tcBorders>
            <w:shd w:val="clear" w:color="auto" w:fill="auto"/>
            <w:noWrap/>
            <w:tcMar>
              <w:left w:w="0" w:type="dxa"/>
              <w:right w:w="0" w:type="dxa"/>
            </w:tcMar>
            <w:vAlign w:val="bottom"/>
            <w:hideMark/>
          </w:tcPr>
          <w:p w:rsidR="00FE62A1" w:rsidRPr="00CD30FA" w:rsidRDefault="00FE62A1"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t>WAM121</w:t>
            </w:r>
          </w:p>
        </w:tc>
        <w:tc>
          <w:tcPr>
            <w:tcW w:w="6170" w:type="dxa"/>
            <w:gridSpan w:val="3"/>
            <w:tcBorders>
              <w:top w:val="nil"/>
              <w:left w:val="nil"/>
              <w:bottom w:val="nil"/>
              <w:right w:val="nil"/>
            </w:tcBorders>
            <w:shd w:val="clear" w:color="auto" w:fill="auto"/>
            <w:noWrap/>
            <w:tcMar>
              <w:left w:w="0" w:type="dxa"/>
              <w:right w:w="0" w:type="dxa"/>
            </w:tcMar>
            <w:vAlign w:val="bottom"/>
            <w:hideMark/>
          </w:tcPr>
          <w:p w:rsidR="00FE62A1" w:rsidRPr="00CD30FA" w:rsidRDefault="00FE62A1"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t xml:space="preserve">MC4100, </w:t>
            </w:r>
            <w:proofErr w:type="spellStart"/>
            <w:r w:rsidRPr="00CD30FA">
              <w:rPr>
                <w:rFonts w:ascii="Times New Roman" w:hAnsi="Times New Roman" w:cs="Times New Roman"/>
                <w:i/>
                <w:iCs/>
                <w:sz w:val="16"/>
                <w:szCs w:val="16"/>
              </w:rPr>
              <w:t>ara</w:t>
            </w:r>
            <w:proofErr w:type="spellEnd"/>
            <w:r w:rsidRPr="00CD30FA">
              <w:rPr>
                <w:rFonts w:cs="Times New Roman" w:hint="eastAsia"/>
                <w:sz w:val="16"/>
                <w:szCs w:val="16"/>
                <w:vertAlign w:val="superscript"/>
              </w:rPr>
              <w:t>+</w:t>
            </w:r>
            <w:r w:rsidRPr="00CD30FA">
              <w:rPr>
                <w:rFonts w:cs="Times New Roman" w:hint="eastAsia"/>
                <w:sz w:val="16"/>
                <w:szCs w:val="16"/>
              </w:rPr>
              <w:t xml:space="preserve"> </w:t>
            </w:r>
            <w:r w:rsidRPr="00CD30FA">
              <w:rPr>
                <w:rFonts w:ascii="Times New Roman" w:hAnsi="Times New Roman" w:cs="Times New Roman"/>
                <w:i/>
                <w:iCs/>
                <w:sz w:val="16"/>
                <w:szCs w:val="16"/>
              </w:rPr>
              <w:t>ffh</w:t>
            </w:r>
            <w:proofErr w:type="gramStart"/>
            <w:r w:rsidRPr="00CD30FA">
              <w:rPr>
                <w:rFonts w:ascii="Times New Roman" w:hAnsi="Times New Roman" w:cs="Times New Roman"/>
                <w:i/>
                <w:iCs/>
                <w:sz w:val="16"/>
                <w:szCs w:val="16"/>
              </w:rPr>
              <w:t>1</w:t>
            </w:r>
            <w:r w:rsidRPr="00CD30FA">
              <w:rPr>
                <w:rFonts w:ascii="Times New Roman" w:hAnsi="Times New Roman" w:cs="Times New Roman"/>
                <w:sz w:val="16"/>
                <w:szCs w:val="16"/>
              </w:rPr>
              <w:t>::</w:t>
            </w:r>
            <w:proofErr w:type="spellStart"/>
            <w:proofErr w:type="gramEnd"/>
            <w:r w:rsidRPr="00CD30FA">
              <w:rPr>
                <w:rFonts w:ascii="Times New Roman" w:hAnsi="Times New Roman" w:cs="Times New Roman"/>
                <w:i/>
                <w:iCs/>
                <w:sz w:val="16"/>
                <w:szCs w:val="16"/>
              </w:rPr>
              <w:t>kan</w:t>
            </w:r>
            <w:proofErr w:type="spellEnd"/>
            <w:r w:rsidRPr="00CD30FA">
              <w:rPr>
                <w:rFonts w:ascii="Times New Roman" w:hAnsi="Times New Roman" w:cs="Times New Roman"/>
                <w:sz w:val="16"/>
                <w:szCs w:val="16"/>
              </w:rPr>
              <w:t xml:space="preserve"> </w:t>
            </w:r>
            <w:proofErr w:type="spellStart"/>
            <w:r w:rsidRPr="00CD30FA">
              <w:rPr>
                <w:rFonts w:ascii="Times New Roman" w:hAnsi="Times New Roman" w:cs="Times New Roman"/>
                <w:i/>
                <w:iCs/>
                <w:sz w:val="16"/>
                <w:szCs w:val="16"/>
              </w:rPr>
              <w:t>attB</w:t>
            </w:r>
            <w:proofErr w:type="spellEnd"/>
            <w:r w:rsidRPr="00CD30FA">
              <w:rPr>
                <w:rFonts w:ascii="Times New Roman" w:hAnsi="Times New Roman" w:cs="Times New Roman"/>
                <w:sz w:val="16"/>
                <w:szCs w:val="16"/>
              </w:rPr>
              <w:t>::R6K</w:t>
            </w:r>
            <w:r w:rsidRPr="00CD30FA">
              <w:rPr>
                <w:rFonts w:ascii="Times New Roman" w:hAnsi="Times New Roman" w:cs="Times New Roman"/>
                <w:i/>
                <w:iCs/>
                <w:sz w:val="16"/>
                <w:szCs w:val="16"/>
              </w:rPr>
              <w:t>ori</w:t>
            </w:r>
            <w:r w:rsidRPr="00CD30FA">
              <w:rPr>
                <w:rFonts w:ascii="Times New Roman" w:hAnsi="Times New Roman" w:cs="Times New Roman"/>
                <w:sz w:val="16"/>
                <w:szCs w:val="16"/>
              </w:rPr>
              <w:t xml:space="preserve"> P</w:t>
            </w:r>
            <w:r w:rsidRPr="00CD30FA">
              <w:rPr>
                <w:rFonts w:ascii="Times New Roman" w:hAnsi="Times New Roman" w:cs="Times New Roman"/>
                <w:i/>
                <w:iCs/>
                <w:sz w:val="16"/>
                <w:szCs w:val="16"/>
                <w:vertAlign w:val="subscript"/>
              </w:rPr>
              <w:t>ara</w:t>
            </w:r>
            <w:r w:rsidRPr="00CD30FA">
              <w:rPr>
                <w:rFonts w:ascii="Times New Roman" w:hAnsi="Times New Roman" w:cs="Times New Roman"/>
                <w:i/>
                <w:iCs/>
                <w:sz w:val="16"/>
                <w:szCs w:val="16"/>
              </w:rPr>
              <w:t>-</w:t>
            </w:r>
            <w:proofErr w:type="spellStart"/>
            <w:r w:rsidRPr="00CD30FA">
              <w:rPr>
                <w:rFonts w:ascii="Times New Roman" w:hAnsi="Times New Roman" w:cs="Times New Roman"/>
                <w:i/>
                <w:iCs/>
                <w:sz w:val="16"/>
                <w:szCs w:val="16"/>
              </w:rPr>
              <w:t>ffh</w:t>
            </w:r>
            <w:proofErr w:type="spellEnd"/>
            <w:r w:rsidRPr="00CD30FA">
              <w:rPr>
                <w:rFonts w:ascii="Times New Roman" w:hAnsi="Times New Roman" w:cs="Times New Roman"/>
                <w:sz w:val="16"/>
                <w:szCs w:val="16"/>
                <w:vertAlign w:val="superscript"/>
              </w:rPr>
              <w:t>+</w:t>
            </w:r>
            <w:r w:rsidRPr="00CD30FA">
              <w:rPr>
                <w:rFonts w:ascii="Times New Roman" w:hAnsi="Times New Roman" w:cs="Times New Roman"/>
                <w:sz w:val="16"/>
                <w:szCs w:val="16"/>
              </w:rPr>
              <w:t xml:space="preserve"> </w:t>
            </w:r>
            <w:r w:rsidRPr="00CD30FA">
              <w:rPr>
                <w:rFonts w:ascii="Times New Roman" w:hAnsi="Times New Roman" w:cs="Times New Roman"/>
                <w:i/>
                <w:iCs/>
                <w:sz w:val="16"/>
                <w:szCs w:val="16"/>
              </w:rPr>
              <w:t>cat</w:t>
            </w:r>
          </w:p>
        </w:tc>
        <w:tc>
          <w:tcPr>
            <w:tcW w:w="2007" w:type="dxa"/>
            <w:tcBorders>
              <w:top w:val="nil"/>
              <w:left w:val="nil"/>
              <w:bottom w:val="nil"/>
              <w:right w:val="nil"/>
            </w:tcBorders>
            <w:shd w:val="clear" w:color="auto" w:fill="auto"/>
            <w:noWrap/>
            <w:tcMar>
              <w:left w:w="0" w:type="dxa"/>
              <w:right w:w="0" w:type="dxa"/>
            </w:tcMar>
            <w:vAlign w:val="bottom"/>
            <w:hideMark/>
          </w:tcPr>
          <w:p w:rsidR="00FE62A1" w:rsidRPr="00CD30FA" w:rsidRDefault="0008547D" w:rsidP="00263BC9">
            <w:pPr>
              <w:spacing w:line="140" w:lineRule="exact"/>
              <w:rPr>
                <w:rFonts w:ascii="Times New Roman" w:hAnsi="Times New Roman" w:cs="Times New Roman"/>
                <w:sz w:val="16"/>
                <w:szCs w:val="16"/>
              </w:rPr>
            </w:pPr>
            <w:r>
              <w:rPr>
                <w:rFonts w:ascii="Times New Roman" w:hAnsi="Times New Roman" w:cs="Times New Roman"/>
                <w:sz w:val="16"/>
                <w:szCs w:val="16"/>
              </w:rPr>
              <w:fldChar w:fldCharType="begin" w:fldLock="1"/>
            </w:r>
            <w:r w:rsidR="004812C9">
              <w:rPr>
                <w:rFonts w:ascii="Times New Roman" w:hAnsi="Times New Roman" w:cs="Times New Roman"/>
                <w:sz w:val="16"/>
                <w:szCs w:val="16"/>
              </w:rPr>
              <w:instrText>ADDIN CSL_CITATION {"citationItems":[{"id":"ITEM-1","itemData":{"DOI":"10.1016/s0014-5793(96)01354-3","ISSN":"0014-5793 (Print)","PMID":"8985168","abstract":"Targeting of the cytoplasmic membrane protein leader peptidase (Lep) and a Lep mutant (Lep-inv) that inserts with an inverted topology compared to the wild-type protein was studied in Escherichia coli strains that are conditional for the expression of either Ffh or 4.5S RNA, the two components of the E. coli SRP. Depletion of either component strongly affected the insertion of both Lep and Lep-inv into the cytoplasmic membrane. This indicates that SRP is required for the assembly of cytoplasmic membrane proteins in E. coli.","author":[{"dropping-particle":"","family":"Gier","given":"J W","non-dropping-particle":"de","parse-names":false,"suffix":""},{"dropping-particle":"","family":"Mansournia","given":"P","non-dropping-particle":"","parse-names":false,"suffix":""},{"dropping-particle":"","family":"Valent","given":"Q A","non-dropping-particle":"","parse-names":false,"suffix":""},{"dropping-particle":"","family":"Phillips","given":"G J","non-dropping-particle":"","parse-names":false,"suffix":""},{"dropping-particle":"","family":"Luirink","given":"J","non-dropping-particle":"","parse-names":false,"suffix":""},{"dropping-particle":"","family":"Heijne","given":"G","non-dropping-particle":"von","parse-names":false,"suffix":""}],"container-title":"FEBS letters","id":"ITEM-1","issue":"3","issued":{"date-parts":[["1996","12"]]},"language":"eng","page":"307-309","publisher-place":"England","title":"Assembly of a cytoplasmic membrane protein in &lt;i&gt;Escherichia coli&lt;/i&gt; is dependent on the signal recognition particle.","type":"article-journal","volume":"399"},"uris":["http://www.mendeley.com/documents/?uuid=6cfe2324-069f-45ea-bb65-2c07ec4458a2"]}],"mendeley":{"formattedCitation":"(de Gier et al., 1996)","plainTextFormattedCitation":"(de Gier et al., 1996)","previouslyFormattedCitation":"(de Gier et al., 1996)"},"properties":{"noteIndex":0},"schema":"https://github.com/citation-style-language/schema/raw/master/csl-citation.json"}</w:instrText>
            </w:r>
            <w:r>
              <w:rPr>
                <w:rFonts w:ascii="Times New Roman" w:hAnsi="Times New Roman" w:cs="Times New Roman"/>
                <w:sz w:val="16"/>
                <w:szCs w:val="16"/>
              </w:rPr>
              <w:fldChar w:fldCharType="separate"/>
            </w:r>
            <w:r w:rsidRPr="0008547D">
              <w:rPr>
                <w:rFonts w:ascii="Times New Roman" w:hAnsi="Times New Roman" w:cs="Times New Roman"/>
                <w:noProof/>
                <w:sz w:val="16"/>
                <w:szCs w:val="16"/>
              </w:rPr>
              <w:t>(de Gier et al., 1996)</w:t>
            </w:r>
            <w:r>
              <w:rPr>
                <w:rFonts w:ascii="Times New Roman" w:hAnsi="Times New Roman" w:cs="Times New Roman"/>
                <w:sz w:val="16"/>
                <w:szCs w:val="16"/>
              </w:rPr>
              <w:fldChar w:fldCharType="end"/>
            </w:r>
          </w:p>
        </w:tc>
      </w:tr>
      <w:tr w:rsidR="00FE62A1" w:rsidRPr="00CD30FA" w:rsidTr="00402577">
        <w:trPr>
          <w:trHeight w:hRule="exact" w:val="227"/>
        </w:trPr>
        <w:tc>
          <w:tcPr>
            <w:tcW w:w="1343" w:type="dxa"/>
            <w:tcBorders>
              <w:top w:val="nil"/>
              <w:left w:val="nil"/>
              <w:bottom w:val="nil"/>
              <w:right w:val="nil"/>
            </w:tcBorders>
            <w:shd w:val="clear" w:color="auto" w:fill="auto"/>
            <w:noWrap/>
            <w:tcMar>
              <w:left w:w="0" w:type="dxa"/>
              <w:right w:w="0" w:type="dxa"/>
            </w:tcMar>
            <w:vAlign w:val="bottom"/>
            <w:hideMark/>
          </w:tcPr>
          <w:p w:rsidR="00FE62A1" w:rsidRPr="00CD30FA" w:rsidRDefault="00FE62A1"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t>DY330</w:t>
            </w:r>
          </w:p>
        </w:tc>
        <w:tc>
          <w:tcPr>
            <w:tcW w:w="6170" w:type="dxa"/>
            <w:gridSpan w:val="3"/>
            <w:tcBorders>
              <w:top w:val="nil"/>
              <w:left w:val="nil"/>
              <w:bottom w:val="nil"/>
              <w:right w:val="nil"/>
            </w:tcBorders>
            <w:shd w:val="clear" w:color="auto" w:fill="auto"/>
            <w:noWrap/>
            <w:tcMar>
              <w:left w:w="0" w:type="dxa"/>
              <w:right w:w="0" w:type="dxa"/>
            </w:tcMar>
            <w:vAlign w:val="bottom"/>
            <w:hideMark/>
          </w:tcPr>
          <w:p w:rsidR="00FE62A1" w:rsidRPr="00CD30FA" w:rsidRDefault="00FE62A1"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t>W3110, Δ</w:t>
            </w:r>
            <w:r w:rsidRPr="00CD30FA">
              <w:rPr>
                <w:rFonts w:ascii="Times New Roman" w:hAnsi="Times New Roman" w:cs="Times New Roman"/>
                <w:i/>
                <w:iCs/>
                <w:sz w:val="16"/>
                <w:szCs w:val="16"/>
              </w:rPr>
              <w:t>lacU169</w:t>
            </w:r>
            <w:r w:rsidRPr="00CD30FA">
              <w:rPr>
                <w:rFonts w:ascii="Times New Roman" w:hAnsi="Times New Roman" w:cs="Times New Roman"/>
                <w:sz w:val="16"/>
                <w:szCs w:val="16"/>
              </w:rPr>
              <w:t xml:space="preserve"> </w:t>
            </w:r>
            <w:r w:rsidRPr="00CD30FA">
              <w:rPr>
                <w:rFonts w:ascii="Times New Roman" w:hAnsi="Times New Roman" w:cs="Times New Roman"/>
                <w:i/>
                <w:iCs/>
                <w:sz w:val="16"/>
                <w:szCs w:val="16"/>
              </w:rPr>
              <w:t>gal490</w:t>
            </w:r>
            <w:r w:rsidRPr="00CD30FA">
              <w:rPr>
                <w:rFonts w:ascii="Times New Roman" w:hAnsi="Times New Roman" w:cs="Times New Roman"/>
                <w:sz w:val="16"/>
                <w:szCs w:val="16"/>
              </w:rPr>
              <w:t xml:space="preserve"> λ</w:t>
            </w:r>
            <w:r w:rsidRPr="00CD30FA">
              <w:rPr>
                <w:rFonts w:ascii="Times New Roman" w:hAnsi="Times New Roman" w:cs="Times New Roman"/>
                <w:i/>
                <w:iCs/>
                <w:sz w:val="16"/>
                <w:szCs w:val="16"/>
              </w:rPr>
              <w:t>cI857</w:t>
            </w:r>
            <w:r w:rsidRPr="00CD30FA">
              <w:rPr>
                <w:rFonts w:ascii="Times New Roman" w:hAnsi="Times New Roman" w:cs="Times New Roman"/>
                <w:sz w:val="16"/>
                <w:szCs w:val="16"/>
              </w:rPr>
              <w:t xml:space="preserve"> Δ(</w:t>
            </w:r>
            <w:proofErr w:type="spellStart"/>
            <w:r w:rsidRPr="00CD30FA">
              <w:rPr>
                <w:rFonts w:ascii="Times New Roman" w:hAnsi="Times New Roman" w:cs="Times New Roman"/>
                <w:i/>
                <w:iCs/>
                <w:sz w:val="16"/>
                <w:szCs w:val="16"/>
              </w:rPr>
              <w:t>cro-bioA</w:t>
            </w:r>
            <w:proofErr w:type="spellEnd"/>
            <w:r w:rsidRPr="00CD30FA">
              <w:rPr>
                <w:rFonts w:ascii="Times New Roman" w:hAnsi="Times New Roman" w:cs="Times New Roman"/>
                <w:sz w:val="16"/>
                <w:szCs w:val="16"/>
              </w:rPr>
              <w:t>)</w:t>
            </w:r>
          </w:p>
        </w:tc>
        <w:tc>
          <w:tcPr>
            <w:tcW w:w="2007" w:type="dxa"/>
            <w:tcBorders>
              <w:top w:val="nil"/>
              <w:left w:val="nil"/>
              <w:bottom w:val="nil"/>
              <w:right w:val="nil"/>
            </w:tcBorders>
            <w:shd w:val="clear" w:color="auto" w:fill="auto"/>
            <w:noWrap/>
            <w:tcMar>
              <w:left w:w="0" w:type="dxa"/>
              <w:right w:w="0" w:type="dxa"/>
            </w:tcMar>
            <w:vAlign w:val="bottom"/>
            <w:hideMark/>
          </w:tcPr>
          <w:p w:rsidR="00FE62A1" w:rsidRPr="00CD30FA" w:rsidRDefault="00394479" w:rsidP="00263BC9">
            <w:pPr>
              <w:spacing w:line="140" w:lineRule="exact"/>
              <w:rPr>
                <w:rFonts w:ascii="Times New Roman" w:hAnsi="Times New Roman" w:cs="Times New Roman"/>
                <w:sz w:val="16"/>
                <w:szCs w:val="16"/>
              </w:rPr>
            </w:pPr>
            <w:r>
              <w:rPr>
                <w:rFonts w:ascii="Times New Roman" w:hAnsi="Times New Roman" w:cs="Times New Roman"/>
                <w:sz w:val="16"/>
                <w:szCs w:val="16"/>
              </w:rPr>
              <w:fldChar w:fldCharType="begin" w:fldLock="1"/>
            </w:r>
            <w:r>
              <w:rPr>
                <w:rFonts w:ascii="Times New Roman" w:hAnsi="Times New Roman" w:cs="Times New Roman"/>
                <w:sz w:val="16"/>
                <w:szCs w:val="16"/>
              </w:rPr>
              <w:instrText>ADDIN CSL_CITATION {"citationItems":[{"id":"ITEM-1","itemData":{"DOI":"10.1073/pnas.100127597","ISSN":"0027-8424 (Print)","PMID":"10811905","abstract":"A recombination system has been developed for efficient chromosome engineering in Escherichia coli by using electroporated linear DNA. A defective lambda prophage supplies functions that protect and recombine an electroporated linear DNA substrate in the bacterial cell. The use of recombination eliminates the requirement for standard cloning as all novel joints are engineered by chemical synthesis in vitro and the linear DNA is efficiently recombined into place in vivo. The technology and manipulations required are simple and straightforward. A temperature-dependent repressor tightly controls prophage expression, and, thus, recombination functions can be transiently supplied by shifting cultures to 42 degrees C for 15 min. The efficient prophage recombination system does not require host RecA function and depends primarily on Exo, Beta, and Gam functions expressed from the defective lambda prophage. The defective prophage can be moved to other strains and can be easily removed from any strain. Gene disruptions and modifications of both the bacterial chromosome and bacterial plasmids are possible. This system will be especially useful for the engineering of large bacterial plasmids such as those from bacterial artificial chromosome libraries.","author":[{"dropping-particle":"","family":"Yu","given":"D","non-dropping-particle":"","parse-names":false,"suffix":""},{"dropping-particle":"","family":"Ellis","given":"H M","non-dropping-particle":"","parse-names":false,"suffix":""},{"dropping-particle":"","family":"Lee","given":"E C","non-dropping-particle":"","parse-names":false,"suffix":""},{"dropping-particle":"","family":"Jenkins","given":"N A","non-dropping-particle":"","parse-names":false,"suffix":""},{"dropping-particle":"","family":"Copeland","given":"N G","non-dropping-particle":"","parse-names":false,"suffix":""},{"dropping-particle":"","family":"Court","given":"D L","non-dropping-particle":"","parse-names":false,"suffix":""}],"container-title":"Proceedings of the National Academy of Sciences of the United States of America","id":"ITEM-1","issue":"11","issued":{"date-parts":[["2000","5"]]},"language":"eng","page":"5978-5983","title":"An efficient recombination system for chromosome engineering in &lt;i&gt;Escherichia coli.&lt;/i&gt;","type":"article-journal","volume":"97"},"uris":["http://www.mendeley.com/documents/?uuid=1e403aec-224e-445f-9ca1-2b2c1fbf0f86"]}],"mendeley":{"formattedCitation":"(Yu et al., 2000)","plainTextFormattedCitation":"(Yu et al., 2000)"},"properties":{"noteIndex":0},"schema":"https://github.com/citation-style-language/schema/raw/master/csl-citation.json"}</w:instrText>
            </w:r>
            <w:r>
              <w:rPr>
                <w:rFonts w:ascii="Times New Roman" w:hAnsi="Times New Roman" w:cs="Times New Roman"/>
                <w:sz w:val="16"/>
                <w:szCs w:val="16"/>
              </w:rPr>
              <w:fldChar w:fldCharType="separate"/>
            </w:r>
            <w:r w:rsidRPr="00394479">
              <w:rPr>
                <w:rFonts w:ascii="Times New Roman" w:hAnsi="Times New Roman" w:cs="Times New Roman"/>
                <w:noProof/>
                <w:sz w:val="16"/>
                <w:szCs w:val="16"/>
              </w:rPr>
              <w:t>(Yu et al., 2000)</w:t>
            </w:r>
            <w:r>
              <w:rPr>
                <w:rFonts w:ascii="Times New Roman" w:hAnsi="Times New Roman" w:cs="Times New Roman"/>
                <w:sz w:val="16"/>
                <w:szCs w:val="16"/>
              </w:rPr>
              <w:fldChar w:fldCharType="end"/>
            </w:r>
          </w:p>
        </w:tc>
      </w:tr>
      <w:tr w:rsidR="00FE62A1" w:rsidRPr="00CD30FA" w:rsidTr="00402577">
        <w:trPr>
          <w:trHeight w:hRule="exact" w:val="227"/>
        </w:trPr>
        <w:tc>
          <w:tcPr>
            <w:tcW w:w="1343" w:type="dxa"/>
            <w:tcBorders>
              <w:top w:val="nil"/>
              <w:left w:val="nil"/>
              <w:bottom w:val="nil"/>
              <w:right w:val="nil"/>
            </w:tcBorders>
            <w:shd w:val="clear" w:color="auto" w:fill="auto"/>
            <w:noWrap/>
            <w:tcMar>
              <w:left w:w="0" w:type="dxa"/>
              <w:right w:w="0" w:type="dxa"/>
            </w:tcMar>
            <w:vAlign w:val="bottom"/>
            <w:hideMark/>
          </w:tcPr>
          <w:p w:rsidR="00FE62A1" w:rsidRPr="00CD30FA" w:rsidRDefault="00FE62A1"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t>RM2813</w:t>
            </w:r>
          </w:p>
        </w:tc>
        <w:tc>
          <w:tcPr>
            <w:tcW w:w="3219" w:type="dxa"/>
            <w:gridSpan w:val="2"/>
            <w:tcBorders>
              <w:top w:val="nil"/>
              <w:left w:val="nil"/>
              <w:bottom w:val="nil"/>
              <w:right w:val="nil"/>
            </w:tcBorders>
            <w:shd w:val="clear" w:color="auto" w:fill="auto"/>
            <w:noWrap/>
            <w:tcMar>
              <w:left w:w="0" w:type="dxa"/>
              <w:right w:w="0" w:type="dxa"/>
            </w:tcMar>
            <w:vAlign w:val="bottom"/>
            <w:hideMark/>
          </w:tcPr>
          <w:p w:rsidR="00FE62A1" w:rsidRPr="00CD30FA" w:rsidRDefault="00FE62A1"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t xml:space="preserve">DY330, </w:t>
            </w:r>
            <w:r w:rsidRPr="00CD30FA">
              <w:rPr>
                <w:rFonts w:ascii="Times New Roman" w:hAnsi="Times New Roman" w:cs="Times New Roman"/>
                <w:i/>
                <w:iCs/>
                <w:sz w:val="16"/>
                <w:szCs w:val="16"/>
              </w:rPr>
              <w:t>ffh-his</w:t>
            </w:r>
            <w:r w:rsidRPr="00CD30FA">
              <w:rPr>
                <w:rFonts w:ascii="Times New Roman" w:hAnsi="Times New Roman" w:cs="Times New Roman"/>
                <w:i/>
                <w:iCs/>
                <w:sz w:val="16"/>
                <w:szCs w:val="16"/>
                <w:vertAlign w:val="subscript"/>
              </w:rPr>
              <w:t>10</w:t>
            </w:r>
            <w:r w:rsidRPr="00CD30FA">
              <w:rPr>
                <w:rFonts w:ascii="Times New Roman" w:hAnsi="Times New Roman" w:cs="Times New Roman"/>
                <w:i/>
                <w:iCs/>
                <w:sz w:val="16"/>
                <w:szCs w:val="16"/>
              </w:rPr>
              <w:t xml:space="preserve"> </w:t>
            </w:r>
            <w:proofErr w:type="spellStart"/>
            <w:r w:rsidRPr="00CD30FA">
              <w:rPr>
                <w:rFonts w:ascii="Times New Roman" w:hAnsi="Times New Roman" w:cs="Times New Roman"/>
                <w:i/>
                <w:iCs/>
                <w:sz w:val="16"/>
                <w:szCs w:val="16"/>
              </w:rPr>
              <w:t>kan</w:t>
            </w:r>
            <w:proofErr w:type="spellEnd"/>
          </w:p>
        </w:tc>
        <w:tc>
          <w:tcPr>
            <w:tcW w:w="2951" w:type="dxa"/>
            <w:tcBorders>
              <w:top w:val="nil"/>
              <w:left w:val="nil"/>
              <w:bottom w:val="nil"/>
              <w:right w:val="nil"/>
            </w:tcBorders>
            <w:shd w:val="clear" w:color="auto" w:fill="auto"/>
            <w:noWrap/>
            <w:tcMar>
              <w:left w:w="0" w:type="dxa"/>
              <w:right w:w="0" w:type="dxa"/>
            </w:tcMar>
            <w:vAlign w:val="bottom"/>
            <w:hideMark/>
          </w:tcPr>
          <w:p w:rsidR="00FE62A1" w:rsidRPr="00CD30FA" w:rsidRDefault="00FE62A1" w:rsidP="00263BC9">
            <w:pPr>
              <w:spacing w:line="140" w:lineRule="exact"/>
              <w:rPr>
                <w:rFonts w:ascii="Times New Roman" w:hAnsi="Times New Roman" w:cs="Times New Roman"/>
                <w:sz w:val="16"/>
                <w:szCs w:val="16"/>
              </w:rPr>
            </w:pPr>
          </w:p>
        </w:tc>
        <w:tc>
          <w:tcPr>
            <w:tcW w:w="2007" w:type="dxa"/>
            <w:tcBorders>
              <w:top w:val="nil"/>
              <w:left w:val="nil"/>
              <w:bottom w:val="nil"/>
              <w:right w:val="nil"/>
            </w:tcBorders>
            <w:shd w:val="clear" w:color="auto" w:fill="auto"/>
            <w:noWrap/>
            <w:tcMar>
              <w:left w:w="0" w:type="dxa"/>
              <w:right w:w="0" w:type="dxa"/>
            </w:tcMar>
            <w:vAlign w:val="bottom"/>
            <w:hideMark/>
          </w:tcPr>
          <w:p w:rsidR="00FE62A1" w:rsidRPr="00CD30FA" w:rsidRDefault="00FE62A1"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t>This study</w:t>
            </w:r>
          </w:p>
        </w:tc>
      </w:tr>
      <w:tr w:rsidR="00FE62A1" w:rsidRPr="00CD30FA" w:rsidTr="00402577">
        <w:trPr>
          <w:trHeight w:hRule="exact" w:val="227"/>
        </w:trPr>
        <w:tc>
          <w:tcPr>
            <w:tcW w:w="1343" w:type="dxa"/>
            <w:tcBorders>
              <w:top w:val="nil"/>
              <w:left w:val="nil"/>
              <w:bottom w:val="nil"/>
              <w:right w:val="nil"/>
            </w:tcBorders>
            <w:shd w:val="clear" w:color="auto" w:fill="auto"/>
            <w:noWrap/>
            <w:tcMar>
              <w:left w:w="0" w:type="dxa"/>
              <w:right w:w="0" w:type="dxa"/>
            </w:tcMar>
            <w:vAlign w:val="bottom"/>
            <w:hideMark/>
          </w:tcPr>
          <w:p w:rsidR="00FE62A1" w:rsidRPr="00CD30FA" w:rsidRDefault="00FE62A1"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t>RM2816</w:t>
            </w:r>
          </w:p>
        </w:tc>
        <w:tc>
          <w:tcPr>
            <w:tcW w:w="3219" w:type="dxa"/>
            <w:gridSpan w:val="2"/>
            <w:tcBorders>
              <w:top w:val="nil"/>
              <w:left w:val="nil"/>
              <w:bottom w:val="nil"/>
              <w:right w:val="nil"/>
            </w:tcBorders>
            <w:shd w:val="clear" w:color="auto" w:fill="auto"/>
            <w:noWrap/>
            <w:tcMar>
              <w:left w:w="0" w:type="dxa"/>
              <w:right w:w="0" w:type="dxa"/>
            </w:tcMar>
            <w:vAlign w:val="bottom"/>
            <w:hideMark/>
          </w:tcPr>
          <w:p w:rsidR="00FE62A1" w:rsidRPr="00CD30FA" w:rsidRDefault="00FE62A1"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t xml:space="preserve">DY330, </w:t>
            </w:r>
            <w:r w:rsidRPr="00CD30FA">
              <w:rPr>
                <w:rFonts w:ascii="Times New Roman" w:hAnsi="Times New Roman" w:cs="Times New Roman"/>
                <w:i/>
                <w:iCs/>
                <w:sz w:val="16"/>
                <w:szCs w:val="16"/>
              </w:rPr>
              <w:t>secY-his</w:t>
            </w:r>
            <w:r w:rsidRPr="00CD30FA">
              <w:rPr>
                <w:rFonts w:ascii="Times New Roman" w:hAnsi="Times New Roman" w:cs="Times New Roman"/>
                <w:i/>
                <w:iCs/>
                <w:sz w:val="16"/>
                <w:szCs w:val="16"/>
                <w:vertAlign w:val="subscript"/>
              </w:rPr>
              <w:t>10</w:t>
            </w:r>
            <w:r w:rsidRPr="00CD30FA">
              <w:rPr>
                <w:rFonts w:ascii="Times New Roman" w:hAnsi="Times New Roman" w:cs="Times New Roman"/>
                <w:i/>
                <w:iCs/>
                <w:sz w:val="16"/>
                <w:szCs w:val="16"/>
              </w:rPr>
              <w:t xml:space="preserve"> </w:t>
            </w:r>
            <w:proofErr w:type="spellStart"/>
            <w:r w:rsidRPr="00CD30FA">
              <w:rPr>
                <w:rFonts w:ascii="Times New Roman" w:hAnsi="Times New Roman" w:cs="Times New Roman"/>
                <w:i/>
                <w:iCs/>
                <w:sz w:val="16"/>
                <w:szCs w:val="16"/>
              </w:rPr>
              <w:t>kan</w:t>
            </w:r>
            <w:proofErr w:type="spellEnd"/>
          </w:p>
        </w:tc>
        <w:tc>
          <w:tcPr>
            <w:tcW w:w="2951" w:type="dxa"/>
            <w:tcBorders>
              <w:top w:val="nil"/>
              <w:left w:val="nil"/>
              <w:bottom w:val="nil"/>
              <w:right w:val="nil"/>
            </w:tcBorders>
            <w:shd w:val="clear" w:color="auto" w:fill="auto"/>
            <w:noWrap/>
            <w:tcMar>
              <w:left w:w="0" w:type="dxa"/>
              <w:right w:w="0" w:type="dxa"/>
            </w:tcMar>
            <w:vAlign w:val="bottom"/>
            <w:hideMark/>
          </w:tcPr>
          <w:p w:rsidR="00FE62A1" w:rsidRPr="00CD30FA" w:rsidRDefault="00FE62A1" w:rsidP="00263BC9">
            <w:pPr>
              <w:spacing w:line="140" w:lineRule="exact"/>
              <w:rPr>
                <w:rFonts w:ascii="Times New Roman" w:hAnsi="Times New Roman" w:cs="Times New Roman"/>
                <w:sz w:val="16"/>
                <w:szCs w:val="16"/>
              </w:rPr>
            </w:pPr>
          </w:p>
        </w:tc>
        <w:tc>
          <w:tcPr>
            <w:tcW w:w="2007" w:type="dxa"/>
            <w:tcBorders>
              <w:top w:val="nil"/>
              <w:left w:val="nil"/>
              <w:bottom w:val="nil"/>
              <w:right w:val="nil"/>
            </w:tcBorders>
            <w:shd w:val="clear" w:color="auto" w:fill="auto"/>
            <w:noWrap/>
            <w:tcMar>
              <w:left w:w="0" w:type="dxa"/>
              <w:right w:w="0" w:type="dxa"/>
            </w:tcMar>
            <w:vAlign w:val="bottom"/>
            <w:hideMark/>
          </w:tcPr>
          <w:p w:rsidR="00FE62A1" w:rsidRPr="00CD30FA" w:rsidRDefault="00FE62A1"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t>This study</w:t>
            </w:r>
          </w:p>
        </w:tc>
      </w:tr>
      <w:tr w:rsidR="00FE62A1" w:rsidRPr="00CD30FA" w:rsidTr="00402577">
        <w:trPr>
          <w:trHeight w:hRule="exact" w:val="227"/>
        </w:trPr>
        <w:tc>
          <w:tcPr>
            <w:tcW w:w="1343" w:type="dxa"/>
            <w:tcBorders>
              <w:top w:val="nil"/>
              <w:left w:val="nil"/>
              <w:bottom w:val="nil"/>
              <w:right w:val="nil"/>
            </w:tcBorders>
            <w:shd w:val="clear" w:color="auto" w:fill="auto"/>
            <w:noWrap/>
            <w:tcMar>
              <w:left w:w="0" w:type="dxa"/>
              <w:right w:w="0" w:type="dxa"/>
            </w:tcMar>
            <w:vAlign w:val="bottom"/>
            <w:hideMark/>
          </w:tcPr>
          <w:p w:rsidR="00FE62A1" w:rsidRPr="00CD30FA" w:rsidRDefault="00FE62A1"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t>RM2934</w:t>
            </w:r>
          </w:p>
        </w:tc>
        <w:tc>
          <w:tcPr>
            <w:tcW w:w="3219" w:type="dxa"/>
            <w:gridSpan w:val="2"/>
            <w:tcBorders>
              <w:top w:val="nil"/>
              <w:left w:val="nil"/>
              <w:bottom w:val="nil"/>
              <w:right w:val="nil"/>
            </w:tcBorders>
            <w:shd w:val="clear" w:color="auto" w:fill="auto"/>
            <w:noWrap/>
            <w:tcMar>
              <w:left w:w="0" w:type="dxa"/>
              <w:right w:w="0" w:type="dxa"/>
            </w:tcMar>
            <w:vAlign w:val="bottom"/>
            <w:hideMark/>
          </w:tcPr>
          <w:p w:rsidR="00FE62A1" w:rsidRPr="00CD30FA" w:rsidRDefault="00FE62A1"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t xml:space="preserve">DY330, </w:t>
            </w:r>
            <w:r w:rsidRPr="00CD30FA">
              <w:rPr>
                <w:rFonts w:ascii="Times New Roman" w:hAnsi="Times New Roman" w:cs="Times New Roman"/>
                <w:i/>
                <w:iCs/>
                <w:sz w:val="16"/>
                <w:szCs w:val="16"/>
              </w:rPr>
              <w:t>yidC-his</w:t>
            </w:r>
            <w:r w:rsidRPr="00CD30FA">
              <w:rPr>
                <w:rFonts w:ascii="Times New Roman" w:hAnsi="Times New Roman" w:cs="Times New Roman"/>
                <w:i/>
                <w:iCs/>
                <w:sz w:val="16"/>
                <w:szCs w:val="16"/>
                <w:vertAlign w:val="subscript"/>
              </w:rPr>
              <w:t>10</w:t>
            </w:r>
            <w:r w:rsidRPr="00CD30FA">
              <w:rPr>
                <w:rFonts w:ascii="Times New Roman" w:hAnsi="Times New Roman" w:cs="Times New Roman"/>
                <w:i/>
                <w:iCs/>
                <w:sz w:val="16"/>
                <w:szCs w:val="16"/>
              </w:rPr>
              <w:t xml:space="preserve"> </w:t>
            </w:r>
            <w:proofErr w:type="spellStart"/>
            <w:r w:rsidRPr="00CD30FA">
              <w:rPr>
                <w:rFonts w:ascii="Times New Roman" w:hAnsi="Times New Roman" w:cs="Times New Roman"/>
                <w:i/>
                <w:iCs/>
                <w:sz w:val="16"/>
                <w:szCs w:val="16"/>
              </w:rPr>
              <w:t>kan</w:t>
            </w:r>
            <w:proofErr w:type="spellEnd"/>
          </w:p>
        </w:tc>
        <w:tc>
          <w:tcPr>
            <w:tcW w:w="2951" w:type="dxa"/>
            <w:tcBorders>
              <w:top w:val="nil"/>
              <w:left w:val="nil"/>
              <w:bottom w:val="nil"/>
              <w:right w:val="nil"/>
            </w:tcBorders>
            <w:shd w:val="clear" w:color="auto" w:fill="auto"/>
            <w:noWrap/>
            <w:tcMar>
              <w:left w:w="0" w:type="dxa"/>
              <w:right w:w="0" w:type="dxa"/>
            </w:tcMar>
            <w:vAlign w:val="bottom"/>
            <w:hideMark/>
          </w:tcPr>
          <w:p w:rsidR="00FE62A1" w:rsidRPr="00CD30FA" w:rsidRDefault="00FE62A1" w:rsidP="00263BC9">
            <w:pPr>
              <w:spacing w:line="140" w:lineRule="exact"/>
              <w:rPr>
                <w:rFonts w:ascii="Times New Roman" w:hAnsi="Times New Roman" w:cs="Times New Roman"/>
                <w:sz w:val="16"/>
                <w:szCs w:val="16"/>
              </w:rPr>
            </w:pPr>
          </w:p>
        </w:tc>
        <w:tc>
          <w:tcPr>
            <w:tcW w:w="2007" w:type="dxa"/>
            <w:tcBorders>
              <w:top w:val="nil"/>
              <w:left w:val="nil"/>
              <w:bottom w:val="nil"/>
              <w:right w:val="nil"/>
            </w:tcBorders>
            <w:shd w:val="clear" w:color="auto" w:fill="auto"/>
            <w:noWrap/>
            <w:tcMar>
              <w:left w:w="0" w:type="dxa"/>
              <w:right w:w="0" w:type="dxa"/>
            </w:tcMar>
            <w:vAlign w:val="bottom"/>
            <w:hideMark/>
          </w:tcPr>
          <w:p w:rsidR="00FE62A1" w:rsidRPr="00CD30FA" w:rsidRDefault="00FE62A1"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t>This study</w:t>
            </w:r>
          </w:p>
        </w:tc>
      </w:tr>
      <w:tr w:rsidR="00FE62A1" w:rsidRPr="00CD30FA" w:rsidTr="00402577">
        <w:trPr>
          <w:trHeight w:hRule="exact" w:val="227"/>
        </w:trPr>
        <w:tc>
          <w:tcPr>
            <w:tcW w:w="1343" w:type="dxa"/>
            <w:tcBorders>
              <w:top w:val="nil"/>
              <w:left w:val="nil"/>
              <w:bottom w:val="nil"/>
              <w:right w:val="nil"/>
            </w:tcBorders>
            <w:shd w:val="clear" w:color="auto" w:fill="auto"/>
            <w:noWrap/>
            <w:tcMar>
              <w:left w:w="0" w:type="dxa"/>
              <w:right w:w="0" w:type="dxa"/>
            </w:tcMar>
            <w:vAlign w:val="bottom"/>
            <w:hideMark/>
          </w:tcPr>
          <w:p w:rsidR="00FE62A1" w:rsidRPr="00CD30FA" w:rsidRDefault="00FE62A1"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t>RM2999</w:t>
            </w:r>
          </w:p>
        </w:tc>
        <w:tc>
          <w:tcPr>
            <w:tcW w:w="3219" w:type="dxa"/>
            <w:gridSpan w:val="2"/>
            <w:tcBorders>
              <w:top w:val="nil"/>
              <w:left w:val="nil"/>
              <w:bottom w:val="nil"/>
              <w:right w:val="nil"/>
            </w:tcBorders>
            <w:shd w:val="clear" w:color="auto" w:fill="auto"/>
            <w:noWrap/>
            <w:tcMar>
              <w:left w:w="0" w:type="dxa"/>
              <w:right w:w="0" w:type="dxa"/>
            </w:tcMar>
            <w:vAlign w:val="bottom"/>
            <w:hideMark/>
          </w:tcPr>
          <w:p w:rsidR="00FE62A1" w:rsidRPr="00CD30FA" w:rsidRDefault="00FE62A1"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t xml:space="preserve">DY330, </w:t>
            </w:r>
            <w:r w:rsidRPr="00CD30FA">
              <w:rPr>
                <w:rFonts w:ascii="Times New Roman" w:hAnsi="Times New Roman" w:cs="Times New Roman"/>
                <w:i/>
                <w:iCs/>
                <w:sz w:val="16"/>
                <w:szCs w:val="16"/>
              </w:rPr>
              <w:t>ppiD-his</w:t>
            </w:r>
            <w:r w:rsidRPr="00CD30FA">
              <w:rPr>
                <w:rFonts w:ascii="Times New Roman" w:hAnsi="Times New Roman" w:cs="Times New Roman"/>
                <w:i/>
                <w:iCs/>
                <w:sz w:val="16"/>
                <w:szCs w:val="16"/>
                <w:vertAlign w:val="subscript"/>
              </w:rPr>
              <w:t>10</w:t>
            </w:r>
            <w:r w:rsidRPr="00CD30FA">
              <w:rPr>
                <w:rFonts w:ascii="Times New Roman" w:hAnsi="Times New Roman" w:cs="Times New Roman"/>
                <w:i/>
                <w:iCs/>
                <w:sz w:val="16"/>
                <w:szCs w:val="16"/>
              </w:rPr>
              <w:t xml:space="preserve"> </w:t>
            </w:r>
            <w:proofErr w:type="spellStart"/>
            <w:r w:rsidRPr="00CD30FA">
              <w:rPr>
                <w:rFonts w:ascii="Times New Roman" w:hAnsi="Times New Roman" w:cs="Times New Roman"/>
                <w:i/>
                <w:iCs/>
                <w:sz w:val="16"/>
                <w:szCs w:val="16"/>
              </w:rPr>
              <w:t>kan</w:t>
            </w:r>
            <w:proofErr w:type="spellEnd"/>
          </w:p>
        </w:tc>
        <w:tc>
          <w:tcPr>
            <w:tcW w:w="2951" w:type="dxa"/>
            <w:tcBorders>
              <w:top w:val="nil"/>
              <w:left w:val="nil"/>
              <w:bottom w:val="nil"/>
              <w:right w:val="nil"/>
            </w:tcBorders>
            <w:shd w:val="clear" w:color="auto" w:fill="auto"/>
            <w:noWrap/>
            <w:tcMar>
              <w:left w:w="0" w:type="dxa"/>
              <w:right w:w="0" w:type="dxa"/>
            </w:tcMar>
            <w:vAlign w:val="bottom"/>
            <w:hideMark/>
          </w:tcPr>
          <w:p w:rsidR="00FE62A1" w:rsidRPr="00CD30FA" w:rsidRDefault="00FE62A1" w:rsidP="00263BC9">
            <w:pPr>
              <w:spacing w:line="140" w:lineRule="exact"/>
              <w:rPr>
                <w:sz w:val="16"/>
                <w:szCs w:val="16"/>
              </w:rPr>
            </w:pPr>
            <w:r w:rsidRPr="00CD30FA">
              <w:rPr>
                <w:rFonts w:hint="eastAsia"/>
                <w:sz w:val="16"/>
                <w:szCs w:val="16"/>
              </w:rPr>
              <w:t xml:space="preserve">　</w:t>
            </w:r>
          </w:p>
        </w:tc>
        <w:tc>
          <w:tcPr>
            <w:tcW w:w="2007" w:type="dxa"/>
            <w:tcBorders>
              <w:top w:val="nil"/>
              <w:left w:val="nil"/>
              <w:bottom w:val="nil"/>
              <w:right w:val="nil"/>
            </w:tcBorders>
            <w:shd w:val="clear" w:color="auto" w:fill="auto"/>
            <w:noWrap/>
            <w:tcMar>
              <w:left w:w="0" w:type="dxa"/>
              <w:right w:w="0" w:type="dxa"/>
            </w:tcMar>
            <w:vAlign w:val="bottom"/>
            <w:hideMark/>
          </w:tcPr>
          <w:p w:rsidR="00FE62A1" w:rsidRPr="00CD30FA" w:rsidRDefault="00FE62A1"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t>This study</w:t>
            </w:r>
          </w:p>
        </w:tc>
      </w:tr>
      <w:tr w:rsidR="00A92EA7" w:rsidRPr="00CD30FA" w:rsidTr="00402577">
        <w:trPr>
          <w:trHeight w:hRule="exact" w:val="227"/>
        </w:trPr>
        <w:tc>
          <w:tcPr>
            <w:tcW w:w="1343" w:type="dxa"/>
            <w:tcBorders>
              <w:top w:val="nil"/>
              <w:left w:val="nil"/>
              <w:bottom w:val="nil"/>
              <w:right w:val="nil"/>
            </w:tcBorders>
            <w:shd w:val="clear" w:color="auto" w:fill="auto"/>
            <w:noWrap/>
            <w:tcMar>
              <w:left w:w="0" w:type="dxa"/>
              <w:right w:w="0" w:type="dxa"/>
            </w:tcMar>
            <w:vAlign w:val="bottom"/>
          </w:tcPr>
          <w:p w:rsidR="00A92EA7" w:rsidRPr="00CD30FA" w:rsidRDefault="00062BF8" w:rsidP="00263BC9">
            <w:pPr>
              <w:spacing w:line="140" w:lineRule="exact"/>
              <w:rPr>
                <w:rFonts w:ascii="Times New Roman" w:hAnsi="Times New Roman" w:cs="Times New Roman"/>
                <w:sz w:val="16"/>
                <w:szCs w:val="16"/>
              </w:rPr>
            </w:pPr>
            <w:r>
              <w:rPr>
                <w:rFonts w:ascii="Times New Roman" w:hAnsi="Times New Roman" w:cs="Times New Roman"/>
                <w:sz w:val="16"/>
                <w:szCs w:val="16"/>
              </w:rPr>
              <w:t>KI2</w:t>
            </w:r>
            <w:r>
              <w:rPr>
                <w:rFonts w:ascii="Times New Roman" w:hAnsi="Times New Roman" w:cs="Times New Roman"/>
                <w:sz w:val="16"/>
                <w:szCs w:val="16"/>
              </w:rPr>
              <w:t>69</w:t>
            </w:r>
            <w:bookmarkStart w:id="0" w:name="_GoBack"/>
            <w:bookmarkEnd w:id="0"/>
          </w:p>
        </w:tc>
        <w:tc>
          <w:tcPr>
            <w:tcW w:w="3219" w:type="dxa"/>
            <w:gridSpan w:val="2"/>
            <w:tcBorders>
              <w:top w:val="nil"/>
              <w:left w:val="nil"/>
              <w:bottom w:val="nil"/>
              <w:right w:val="nil"/>
            </w:tcBorders>
            <w:shd w:val="clear" w:color="auto" w:fill="auto"/>
            <w:noWrap/>
            <w:tcMar>
              <w:left w:w="0" w:type="dxa"/>
              <w:right w:w="0" w:type="dxa"/>
            </w:tcMar>
            <w:vAlign w:val="bottom"/>
          </w:tcPr>
          <w:p w:rsidR="00A92EA7" w:rsidRPr="00CD30FA" w:rsidRDefault="00A92EA7" w:rsidP="00263BC9">
            <w:pPr>
              <w:spacing w:line="140" w:lineRule="exact"/>
              <w:rPr>
                <w:rFonts w:ascii="Times New Roman" w:hAnsi="Times New Roman" w:cs="Times New Roman"/>
                <w:sz w:val="16"/>
                <w:szCs w:val="16"/>
              </w:rPr>
            </w:pPr>
            <w:r>
              <w:rPr>
                <w:rFonts w:ascii="Times New Roman" w:hAnsi="Times New Roman" w:cs="Times New Roman" w:hint="eastAsia"/>
                <w:sz w:val="16"/>
                <w:szCs w:val="16"/>
              </w:rPr>
              <w:t>M</w:t>
            </w:r>
            <w:r>
              <w:rPr>
                <w:rFonts w:ascii="Times New Roman" w:hAnsi="Times New Roman" w:cs="Times New Roman"/>
                <w:sz w:val="16"/>
                <w:szCs w:val="16"/>
              </w:rPr>
              <w:t xml:space="preserve">C4100 </w:t>
            </w:r>
            <w:r w:rsidRPr="00402577">
              <w:rPr>
                <w:rFonts w:ascii="Times New Roman" w:hAnsi="Times New Roman" w:cs="Times New Roman"/>
                <w:i/>
                <w:sz w:val="16"/>
                <w:szCs w:val="16"/>
              </w:rPr>
              <w:t>cya283</w:t>
            </w:r>
            <w:r>
              <w:rPr>
                <w:rFonts w:ascii="Times New Roman" w:hAnsi="Times New Roman" w:cs="Times New Roman"/>
                <w:sz w:val="16"/>
                <w:szCs w:val="16"/>
              </w:rPr>
              <w:t>/</w:t>
            </w:r>
            <w:r w:rsidRPr="00CD30FA">
              <w:rPr>
                <w:rFonts w:ascii="Times New Roman" w:hAnsi="Times New Roman" w:cs="Times New Roman"/>
                <w:sz w:val="16"/>
                <w:szCs w:val="16"/>
              </w:rPr>
              <w:t xml:space="preserve"> F' </w:t>
            </w:r>
            <w:proofErr w:type="spellStart"/>
            <w:r w:rsidRPr="00CD30FA">
              <w:rPr>
                <w:rFonts w:ascii="Times New Roman" w:hAnsi="Times New Roman" w:cs="Times New Roman"/>
                <w:i/>
                <w:iCs/>
                <w:sz w:val="16"/>
                <w:szCs w:val="16"/>
              </w:rPr>
              <w:t>lacI</w:t>
            </w:r>
            <w:r w:rsidRPr="00CD30FA">
              <w:rPr>
                <w:rFonts w:ascii="Times New Roman" w:hAnsi="Times New Roman" w:cs="Times New Roman"/>
                <w:sz w:val="16"/>
                <w:szCs w:val="16"/>
                <w:vertAlign w:val="superscript"/>
              </w:rPr>
              <w:t>q</w:t>
            </w:r>
            <w:proofErr w:type="spellEnd"/>
            <w:r w:rsidRPr="00CD30FA">
              <w:rPr>
                <w:rFonts w:ascii="Times New Roman" w:hAnsi="Times New Roman" w:cs="Times New Roman"/>
                <w:sz w:val="16"/>
                <w:szCs w:val="16"/>
              </w:rPr>
              <w:t xml:space="preserve"> </w:t>
            </w:r>
            <w:r w:rsidRPr="00CD30FA">
              <w:rPr>
                <w:rFonts w:ascii="Times New Roman" w:hAnsi="Times New Roman" w:cs="Times New Roman"/>
                <w:i/>
                <w:iCs/>
                <w:sz w:val="16"/>
                <w:szCs w:val="16"/>
              </w:rPr>
              <w:t>lacZ</w:t>
            </w:r>
            <w:r w:rsidRPr="00CD30FA">
              <w:rPr>
                <w:rFonts w:ascii="Times New Roman" w:hAnsi="Times New Roman" w:cs="Times New Roman"/>
                <w:sz w:val="16"/>
                <w:szCs w:val="16"/>
                <w:vertAlign w:val="superscript"/>
              </w:rPr>
              <w:t>+</w:t>
            </w:r>
            <w:r w:rsidRPr="00CD30FA">
              <w:rPr>
                <w:rFonts w:ascii="Times New Roman" w:hAnsi="Times New Roman" w:cs="Times New Roman"/>
                <w:sz w:val="16"/>
                <w:szCs w:val="16"/>
              </w:rPr>
              <w:t xml:space="preserve">, </w:t>
            </w:r>
            <w:r w:rsidRPr="00CD30FA">
              <w:rPr>
                <w:rFonts w:ascii="Times New Roman" w:hAnsi="Times New Roman" w:cs="Times New Roman"/>
                <w:i/>
                <w:iCs/>
                <w:sz w:val="16"/>
                <w:szCs w:val="16"/>
              </w:rPr>
              <w:t>Y</w:t>
            </w:r>
            <w:r w:rsidRPr="00CD30FA">
              <w:rPr>
                <w:rFonts w:ascii="Times New Roman" w:hAnsi="Times New Roman" w:cs="Times New Roman"/>
                <w:sz w:val="16"/>
                <w:szCs w:val="16"/>
                <w:vertAlign w:val="superscript"/>
              </w:rPr>
              <w:t>+</w:t>
            </w:r>
            <w:r w:rsidRPr="00CD30FA">
              <w:rPr>
                <w:rFonts w:ascii="Times New Roman" w:hAnsi="Times New Roman" w:cs="Times New Roman"/>
                <w:sz w:val="16"/>
                <w:szCs w:val="16"/>
              </w:rPr>
              <w:t xml:space="preserve">, </w:t>
            </w:r>
            <w:r w:rsidRPr="00CD30FA">
              <w:rPr>
                <w:rFonts w:ascii="Times New Roman" w:hAnsi="Times New Roman" w:cs="Times New Roman"/>
                <w:i/>
                <w:iCs/>
                <w:sz w:val="16"/>
                <w:szCs w:val="16"/>
              </w:rPr>
              <w:t>A</w:t>
            </w:r>
            <w:r w:rsidRPr="00CD30FA">
              <w:rPr>
                <w:rFonts w:ascii="Times New Roman" w:hAnsi="Times New Roman" w:cs="Times New Roman"/>
                <w:sz w:val="16"/>
                <w:szCs w:val="16"/>
                <w:vertAlign w:val="superscript"/>
              </w:rPr>
              <w:t>+</w:t>
            </w:r>
          </w:p>
        </w:tc>
        <w:tc>
          <w:tcPr>
            <w:tcW w:w="2951" w:type="dxa"/>
            <w:tcBorders>
              <w:top w:val="nil"/>
              <w:left w:val="nil"/>
              <w:bottom w:val="nil"/>
              <w:right w:val="nil"/>
            </w:tcBorders>
            <w:shd w:val="clear" w:color="auto" w:fill="auto"/>
            <w:noWrap/>
            <w:tcMar>
              <w:left w:w="0" w:type="dxa"/>
              <w:right w:w="0" w:type="dxa"/>
            </w:tcMar>
            <w:vAlign w:val="bottom"/>
          </w:tcPr>
          <w:p w:rsidR="00A92EA7" w:rsidRPr="00CD30FA" w:rsidRDefault="00A92EA7" w:rsidP="00263BC9">
            <w:pPr>
              <w:spacing w:line="140" w:lineRule="exact"/>
              <w:rPr>
                <w:sz w:val="16"/>
                <w:szCs w:val="16"/>
              </w:rPr>
            </w:pPr>
          </w:p>
        </w:tc>
        <w:tc>
          <w:tcPr>
            <w:tcW w:w="2007" w:type="dxa"/>
            <w:tcBorders>
              <w:top w:val="nil"/>
              <w:left w:val="nil"/>
              <w:bottom w:val="nil"/>
              <w:right w:val="nil"/>
            </w:tcBorders>
            <w:shd w:val="clear" w:color="auto" w:fill="auto"/>
            <w:noWrap/>
            <w:tcMar>
              <w:left w:w="0" w:type="dxa"/>
              <w:right w:w="0" w:type="dxa"/>
            </w:tcMar>
            <w:vAlign w:val="bottom"/>
          </w:tcPr>
          <w:p w:rsidR="00A92EA7" w:rsidRPr="00CD30FA" w:rsidRDefault="00A92EA7" w:rsidP="00263BC9">
            <w:pPr>
              <w:spacing w:line="140" w:lineRule="exact"/>
              <w:rPr>
                <w:rFonts w:ascii="Times New Roman" w:hAnsi="Times New Roman" w:cs="Times New Roman"/>
                <w:sz w:val="16"/>
                <w:szCs w:val="16"/>
              </w:rPr>
            </w:pPr>
            <w:r>
              <w:rPr>
                <w:rFonts w:ascii="Times New Roman" w:hAnsi="Times New Roman" w:cs="Times New Roman"/>
                <w:sz w:val="16"/>
                <w:szCs w:val="16"/>
              </w:rPr>
              <w:fldChar w:fldCharType="begin" w:fldLock="1"/>
            </w:r>
            <w:r w:rsidR="005B3E91">
              <w:rPr>
                <w:rFonts w:ascii="Times New Roman" w:hAnsi="Times New Roman" w:cs="Times New Roman"/>
                <w:sz w:val="16"/>
                <w:szCs w:val="16"/>
              </w:rPr>
              <w:instrText>ADDIN CSL_CITATION {"citationItems":[{"id":"ITEM-1","itemData":{"ISSN":"0261-4189 (Print)","PMID":"3004955","abstract":"The product of the secY (prlA) gene (the SecY protein) involved in protein export in  Escherichia coli was overproduced and localized in the cytoplasmic (inner) membrane. Because of its strong interaction with a non-ionic detergent (NP40), it partitioned into the detergent layer during electroblotting through a NP40-containing gel (detergent blotting), and it formed a horizontal streak in the O'Farrell two-dimensional gel electrophoretic system. Consequently, we developed an alternative two-dimensional gel procedure, which proved useful for analysis of integral membrane proteins, especially in combination with detergent blotting. SDS-gel electrophoresis was carried out successively through gels of lower (first dimension) and higher (second dimension) sieving effects. Many membrane proteins, unlike soluble proteins, formed spots off and above the diagonal line, and all of these spots partitioned exclusively into the detergent layer. A characteristic pattern of integral membrane proteins of E. coli was thus obtained and the spot of the SecY protein in the cytoplasmic membrane was identified even when it was not overproduced. These results show that the gene secY specifies an integral membrane component of the protein export machinery.","author":[{"dropping-particle":"","family":"Akiyama","given":"Y","non-dropping-particle":"","parse-names":false,"suffix":""},{"dropping-particle":"","family":"Ito","given":"K","non-dropping-particle":"","parse-names":false,"suffix":""}],"container-title":"The EMBO journal","id":"ITEM-1","issue":"12","issued":{"date-parts":[["1985","12"]]},"language":"eng","page":"3351-3356","title":"The SecY membrane component of the bacterial protein export machinery: analysis by  new electrophoretic methods for integral membrane proteins.","type":"article-journal","volume":"4"},"uris":["http://www.mendeley.com/documents/?uuid=93499907-4f5a-485b-81b0-fcbcc45ba971"]}],"mendeley":{"formattedCitation":"(Akiyama and Ito, 1985)","plainTextFormattedCitation":"(Akiyama and Ito, 1985)","previouslyFormattedCitation":"(Akiyama and Ito, 1985)"},"properties":{"noteIndex":0},"schema":"https://github.com/citation-style-language/schema/raw/master/csl-citation.json"}</w:instrText>
            </w:r>
            <w:r>
              <w:rPr>
                <w:rFonts w:ascii="Times New Roman" w:hAnsi="Times New Roman" w:cs="Times New Roman"/>
                <w:sz w:val="16"/>
                <w:szCs w:val="16"/>
              </w:rPr>
              <w:fldChar w:fldCharType="separate"/>
            </w:r>
            <w:r w:rsidRPr="00A92EA7">
              <w:rPr>
                <w:rFonts w:ascii="Times New Roman" w:hAnsi="Times New Roman" w:cs="Times New Roman"/>
                <w:noProof/>
                <w:sz w:val="16"/>
                <w:szCs w:val="16"/>
              </w:rPr>
              <w:t>(Akiyama and Ito, 1985)</w:t>
            </w:r>
            <w:r>
              <w:rPr>
                <w:rFonts w:ascii="Times New Roman" w:hAnsi="Times New Roman" w:cs="Times New Roman"/>
                <w:sz w:val="16"/>
                <w:szCs w:val="16"/>
              </w:rPr>
              <w:fldChar w:fldCharType="end"/>
            </w:r>
          </w:p>
        </w:tc>
      </w:tr>
      <w:tr w:rsidR="00A92EA7" w:rsidRPr="00CD30FA" w:rsidTr="00402577">
        <w:trPr>
          <w:trHeight w:hRule="exact" w:val="227"/>
        </w:trPr>
        <w:tc>
          <w:tcPr>
            <w:tcW w:w="1343" w:type="dxa"/>
            <w:tcBorders>
              <w:top w:val="nil"/>
              <w:left w:val="nil"/>
              <w:bottom w:val="nil"/>
              <w:right w:val="nil"/>
            </w:tcBorders>
            <w:shd w:val="clear" w:color="auto" w:fill="auto"/>
            <w:noWrap/>
            <w:tcMar>
              <w:left w:w="0" w:type="dxa"/>
              <w:right w:w="0" w:type="dxa"/>
            </w:tcMar>
            <w:vAlign w:val="bottom"/>
          </w:tcPr>
          <w:p w:rsidR="00A92EA7" w:rsidRDefault="00A92EA7" w:rsidP="00263BC9">
            <w:pPr>
              <w:spacing w:line="140" w:lineRule="exact"/>
              <w:rPr>
                <w:rFonts w:ascii="Times New Roman" w:hAnsi="Times New Roman" w:cs="Times New Roman"/>
                <w:sz w:val="16"/>
                <w:szCs w:val="16"/>
              </w:rPr>
            </w:pPr>
            <w:r>
              <w:rPr>
                <w:rFonts w:ascii="Times New Roman" w:hAnsi="Times New Roman" w:cs="Times New Roman" w:hint="eastAsia"/>
                <w:sz w:val="16"/>
                <w:szCs w:val="16"/>
              </w:rPr>
              <w:t>M</w:t>
            </w:r>
            <w:r>
              <w:rPr>
                <w:rFonts w:ascii="Times New Roman" w:hAnsi="Times New Roman" w:cs="Times New Roman"/>
                <w:sz w:val="16"/>
                <w:szCs w:val="16"/>
              </w:rPr>
              <w:t>M52</w:t>
            </w:r>
          </w:p>
        </w:tc>
        <w:tc>
          <w:tcPr>
            <w:tcW w:w="3219" w:type="dxa"/>
            <w:gridSpan w:val="2"/>
            <w:tcBorders>
              <w:top w:val="nil"/>
              <w:left w:val="nil"/>
              <w:bottom w:val="nil"/>
              <w:right w:val="nil"/>
            </w:tcBorders>
            <w:shd w:val="clear" w:color="auto" w:fill="auto"/>
            <w:noWrap/>
            <w:tcMar>
              <w:left w:w="0" w:type="dxa"/>
              <w:right w:w="0" w:type="dxa"/>
            </w:tcMar>
            <w:vAlign w:val="bottom"/>
          </w:tcPr>
          <w:p w:rsidR="00A92EA7" w:rsidRDefault="005B3E91" w:rsidP="00263BC9">
            <w:pPr>
              <w:spacing w:line="140" w:lineRule="exact"/>
              <w:rPr>
                <w:rFonts w:ascii="Times New Roman" w:hAnsi="Times New Roman" w:cs="Times New Roman"/>
                <w:sz w:val="16"/>
                <w:szCs w:val="16"/>
              </w:rPr>
            </w:pPr>
            <w:r>
              <w:rPr>
                <w:rFonts w:ascii="Times New Roman" w:hAnsi="Times New Roman" w:cs="Times New Roman" w:hint="eastAsia"/>
                <w:sz w:val="16"/>
                <w:szCs w:val="16"/>
              </w:rPr>
              <w:t>M</w:t>
            </w:r>
            <w:r>
              <w:rPr>
                <w:rFonts w:ascii="Times New Roman" w:hAnsi="Times New Roman" w:cs="Times New Roman"/>
                <w:sz w:val="16"/>
                <w:szCs w:val="16"/>
              </w:rPr>
              <w:t xml:space="preserve">C4100 </w:t>
            </w:r>
            <w:r w:rsidRPr="00402577">
              <w:rPr>
                <w:rFonts w:ascii="Times New Roman" w:hAnsi="Times New Roman" w:cs="Times New Roman"/>
                <w:i/>
                <w:sz w:val="16"/>
                <w:szCs w:val="16"/>
              </w:rPr>
              <w:t>secA51</w:t>
            </w:r>
            <w:r>
              <w:rPr>
                <w:rFonts w:ascii="Times New Roman" w:hAnsi="Times New Roman" w:cs="Times New Roman"/>
                <w:sz w:val="16"/>
                <w:szCs w:val="16"/>
              </w:rPr>
              <w:t>(</w:t>
            </w:r>
            <w:proofErr w:type="spellStart"/>
            <w:r>
              <w:rPr>
                <w:rFonts w:ascii="Times New Roman" w:hAnsi="Times New Roman" w:cs="Times New Roman"/>
                <w:sz w:val="16"/>
                <w:szCs w:val="16"/>
              </w:rPr>
              <w:t>Ts</w:t>
            </w:r>
            <w:proofErr w:type="spellEnd"/>
            <w:r>
              <w:rPr>
                <w:rFonts w:ascii="Times New Roman" w:hAnsi="Times New Roman" w:cs="Times New Roman"/>
                <w:sz w:val="16"/>
                <w:szCs w:val="16"/>
              </w:rPr>
              <w:t>)</w:t>
            </w:r>
          </w:p>
        </w:tc>
        <w:tc>
          <w:tcPr>
            <w:tcW w:w="2951" w:type="dxa"/>
            <w:tcBorders>
              <w:top w:val="nil"/>
              <w:left w:val="nil"/>
              <w:bottom w:val="nil"/>
              <w:right w:val="nil"/>
            </w:tcBorders>
            <w:shd w:val="clear" w:color="auto" w:fill="auto"/>
            <w:noWrap/>
            <w:tcMar>
              <w:left w:w="0" w:type="dxa"/>
              <w:right w:w="0" w:type="dxa"/>
            </w:tcMar>
            <w:vAlign w:val="bottom"/>
          </w:tcPr>
          <w:p w:rsidR="00A92EA7" w:rsidRPr="00CD30FA" w:rsidRDefault="00A92EA7" w:rsidP="00263BC9">
            <w:pPr>
              <w:spacing w:line="140" w:lineRule="exact"/>
              <w:rPr>
                <w:sz w:val="16"/>
                <w:szCs w:val="16"/>
              </w:rPr>
            </w:pPr>
          </w:p>
        </w:tc>
        <w:tc>
          <w:tcPr>
            <w:tcW w:w="2007" w:type="dxa"/>
            <w:tcBorders>
              <w:top w:val="nil"/>
              <w:left w:val="nil"/>
              <w:bottom w:val="nil"/>
              <w:right w:val="nil"/>
            </w:tcBorders>
            <w:shd w:val="clear" w:color="auto" w:fill="auto"/>
            <w:noWrap/>
            <w:tcMar>
              <w:left w:w="0" w:type="dxa"/>
              <w:right w:w="0" w:type="dxa"/>
            </w:tcMar>
            <w:vAlign w:val="bottom"/>
          </w:tcPr>
          <w:p w:rsidR="00A92EA7" w:rsidRPr="00CD30FA" w:rsidRDefault="005B3E91" w:rsidP="00263BC9">
            <w:pPr>
              <w:spacing w:line="140" w:lineRule="exact"/>
              <w:rPr>
                <w:rFonts w:ascii="Times New Roman" w:hAnsi="Times New Roman" w:cs="Times New Roman"/>
                <w:sz w:val="16"/>
                <w:szCs w:val="16"/>
              </w:rPr>
            </w:pPr>
            <w:r>
              <w:rPr>
                <w:rFonts w:ascii="Times New Roman" w:hAnsi="Times New Roman" w:cs="Times New Roman"/>
                <w:sz w:val="16"/>
                <w:szCs w:val="16"/>
              </w:rPr>
              <w:fldChar w:fldCharType="begin" w:fldLock="1"/>
            </w:r>
            <w:r w:rsidR="0008547D">
              <w:rPr>
                <w:rFonts w:ascii="Times New Roman" w:hAnsi="Times New Roman" w:cs="Times New Roman"/>
                <w:sz w:val="16"/>
                <w:szCs w:val="16"/>
              </w:rPr>
              <w:instrText>ADDIN CSL_CITATION {"citationItems":[{"id":"ITEM-1","itemData":{"DOI":"10.1016/0092-8674(81)90184-7","ISSN":"0092-8674 (Print)","PMID":"7026050","abstract":"A hybrid beta-galactosidase molecule containing a substantial portion of the  amino-terminal sequence of the maltose-binding protein is inserted in the cytoplasmic membrane of E. coli; in this location, the protein has very low enzymatic activity. The strain producing it is, therefore, Lac-. Selection for derivatives of the fusion strain that are able to grow on lactose yields mutants in which the hybrid protein has become cytoplasmic, and thus has higher enzymatic activity. Among such derivatives, we have isolated a temperature-sensitive conditional lethal mutant that accumulates the precursor of the maltose-binding protein in the cytoplasm, and also accumulates precursors of alkaline phosphatase, lambda receptor protein and the ompF gene gene product. A number of periplasmic proteins are, however, properly localized at the nonpermissive temperature. The temperature-sensitive lesion has been genetically mapped to 2.5 min on the E. coli map, within or near a cluster of genes responsible for cell division and septation. The principle behind the genetic selection employed here should be useful in obtaining other secretion mutants to characterize the cell's secretion machinery.","author":[{"dropping-particle":"","family":"Oliver","given":"D B","non-dropping-particle":"","parse-names":false,"suffix":""},{"dropping-particle":"","family":"Beckwith","given":"J","non-dropping-particle":"","parse-names":false,"suffix":""}],"container-title":"Cell","id":"ITEM-1","issue":"3","issued":{"date-parts":[["1981","9"]]},"language":"eng","page":"765-772","publisher-place":"United States","title":"E. coli mutant pleiotropically defective in the export of secreted proteins.","type":"article-journal","volume":"25"},"uris":["http://www.mendeley.com/documents/?uuid=f6bd1b79-a2ea-46ab-8788-005a9cbc561b"]}],"mendeley":{"formattedCitation":"(Oliver and Beckwith, 1981)","plainTextFormattedCitation":"(Oliver and Beckwith, 1981)","previouslyFormattedCitation":"(Oliver and Beckwith, 1981)"},"properties":{"noteIndex":0},"schema":"https://github.com/citation-style-language/schema/raw/master/csl-citation.json"}</w:instrText>
            </w:r>
            <w:r>
              <w:rPr>
                <w:rFonts w:ascii="Times New Roman" w:hAnsi="Times New Roman" w:cs="Times New Roman"/>
                <w:sz w:val="16"/>
                <w:szCs w:val="16"/>
              </w:rPr>
              <w:fldChar w:fldCharType="separate"/>
            </w:r>
            <w:r w:rsidRPr="005B3E91">
              <w:rPr>
                <w:rFonts w:ascii="Times New Roman" w:hAnsi="Times New Roman" w:cs="Times New Roman"/>
                <w:noProof/>
                <w:sz w:val="16"/>
                <w:szCs w:val="16"/>
              </w:rPr>
              <w:t>(Oliver and Beckwith, 1981)</w:t>
            </w:r>
            <w:r>
              <w:rPr>
                <w:rFonts w:ascii="Times New Roman" w:hAnsi="Times New Roman" w:cs="Times New Roman"/>
                <w:sz w:val="16"/>
                <w:szCs w:val="16"/>
              </w:rPr>
              <w:fldChar w:fldCharType="end"/>
            </w:r>
          </w:p>
        </w:tc>
      </w:tr>
      <w:tr w:rsidR="00A92EA7" w:rsidRPr="00CD30FA" w:rsidTr="00402577">
        <w:trPr>
          <w:trHeight w:hRule="exact" w:val="227"/>
        </w:trPr>
        <w:tc>
          <w:tcPr>
            <w:tcW w:w="1343" w:type="dxa"/>
            <w:tcBorders>
              <w:top w:val="nil"/>
              <w:left w:val="nil"/>
              <w:bottom w:val="single" w:sz="4" w:space="0" w:color="auto"/>
              <w:right w:val="nil"/>
            </w:tcBorders>
            <w:shd w:val="clear" w:color="auto" w:fill="auto"/>
            <w:noWrap/>
            <w:tcMar>
              <w:left w:w="0" w:type="dxa"/>
              <w:right w:w="0" w:type="dxa"/>
            </w:tcMar>
            <w:vAlign w:val="bottom"/>
          </w:tcPr>
          <w:p w:rsidR="00A92EA7" w:rsidRPr="00CD30FA" w:rsidRDefault="00A92EA7" w:rsidP="00263BC9">
            <w:pPr>
              <w:spacing w:line="140" w:lineRule="exact"/>
              <w:rPr>
                <w:rFonts w:ascii="Times New Roman" w:hAnsi="Times New Roman" w:cs="Times New Roman"/>
                <w:sz w:val="16"/>
                <w:szCs w:val="16"/>
              </w:rPr>
            </w:pPr>
            <w:r>
              <w:rPr>
                <w:rFonts w:ascii="Times New Roman" w:hAnsi="Times New Roman" w:cs="Times New Roman" w:hint="eastAsia"/>
                <w:sz w:val="16"/>
                <w:szCs w:val="16"/>
              </w:rPr>
              <w:t>A</w:t>
            </w:r>
            <w:r>
              <w:rPr>
                <w:rFonts w:ascii="Times New Roman" w:hAnsi="Times New Roman" w:cs="Times New Roman"/>
                <w:sz w:val="16"/>
                <w:szCs w:val="16"/>
              </w:rPr>
              <w:t>D96</w:t>
            </w:r>
          </w:p>
        </w:tc>
        <w:tc>
          <w:tcPr>
            <w:tcW w:w="3219" w:type="dxa"/>
            <w:gridSpan w:val="2"/>
            <w:tcBorders>
              <w:top w:val="nil"/>
              <w:left w:val="nil"/>
              <w:bottom w:val="single" w:sz="4" w:space="0" w:color="auto"/>
              <w:right w:val="nil"/>
            </w:tcBorders>
            <w:shd w:val="clear" w:color="auto" w:fill="auto"/>
            <w:noWrap/>
            <w:tcMar>
              <w:left w:w="0" w:type="dxa"/>
              <w:right w:w="0" w:type="dxa"/>
            </w:tcMar>
            <w:vAlign w:val="bottom"/>
          </w:tcPr>
          <w:p w:rsidR="00A92EA7" w:rsidRPr="00CD30FA" w:rsidRDefault="00A92EA7" w:rsidP="00263BC9">
            <w:pPr>
              <w:spacing w:line="140" w:lineRule="exact"/>
              <w:rPr>
                <w:rFonts w:ascii="Times New Roman" w:hAnsi="Times New Roman" w:cs="Times New Roman"/>
                <w:sz w:val="16"/>
                <w:szCs w:val="16"/>
              </w:rPr>
            </w:pPr>
            <w:r>
              <w:rPr>
                <w:rFonts w:ascii="Times New Roman" w:hAnsi="Times New Roman" w:cs="Times New Roman" w:hint="eastAsia"/>
                <w:sz w:val="16"/>
                <w:szCs w:val="16"/>
              </w:rPr>
              <w:t>K</w:t>
            </w:r>
            <w:r>
              <w:rPr>
                <w:rFonts w:ascii="Times New Roman" w:hAnsi="Times New Roman" w:cs="Times New Roman"/>
                <w:sz w:val="16"/>
                <w:szCs w:val="16"/>
              </w:rPr>
              <w:t>I2</w:t>
            </w:r>
            <w:r w:rsidR="00062BF8">
              <w:rPr>
                <w:rFonts w:ascii="Times New Roman" w:hAnsi="Times New Roman" w:cs="Times New Roman"/>
                <w:sz w:val="16"/>
                <w:szCs w:val="16"/>
              </w:rPr>
              <w:t>69</w:t>
            </w:r>
            <w:r>
              <w:rPr>
                <w:rFonts w:ascii="Times New Roman" w:hAnsi="Times New Roman" w:cs="Times New Roman" w:hint="eastAsia"/>
                <w:sz w:val="16"/>
                <w:szCs w:val="16"/>
              </w:rPr>
              <w:t xml:space="preserve"> </w:t>
            </w:r>
            <w:r w:rsidRPr="00402577">
              <w:rPr>
                <w:rFonts w:ascii="Times New Roman" w:hAnsi="Times New Roman" w:cs="Times New Roman"/>
                <w:i/>
                <w:sz w:val="16"/>
                <w:szCs w:val="16"/>
              </w:rPr>
              <w:t>secA51</w:t>
            </w:r>
          </w:p>
        </w:tc>
        <w:tc>
          <w:tcPr>
            <w:tcW w:w="2951" w:type="dxa"/>
            <w:tcBorders>
              <w:top w:val="nil"/>
              <w:left w:val="nil"/>
              <w:bottom w:val="single" w:sz="4" w:space="0" w:color="auto"/>
              <w:right w:val="nil"/>
            </w:tcBorders>
            <w:shd w:val="clear" w:color="auto" w:fill="auto"/>
            <w:noWrap/>
            <w:tcMar>
              <w:left w:w="0" w:type="dxa"/>
              <w:right w:w="0" w:type="dxa"/>
            </w:tcMar>
            <w:vAlign w:val="bottom"/>
          </w:tcPr>
          <w:p w:rsidR="00A92EA7" w:rsidRPr="00CD30FA" w:rsidRDefault="00A92EA7" w:rsidP="00263BC9">
            <w:pPr>
              <w:spacing w:line="140" w:lineRule="exact"/>
              <w:rPr>
                <w:sz w:val="16"/>
                <w:szCs w:val="16"/>
              </w:rPr>
            </w:pPr>
          </w:p>
        </w:tc>
        <w:tc>
          <w:tcPr>
            <w:tcW w:w="2007" w:type="dxa"/>
            <w:tcBorders>
              <w:top w:val="nil"/>
              <w:left w:val="nil"/>
              <w:bottom w:val="single" w:sz="4" w:space="0" w:color="auto"/>
              <w:right w:val="nil"/>
            </w:tcBorders>
            <w:shd w:val="clear" w:color="auto" w:fill="auto"/>
            <w:noWrap/>
            <w:tcMar>
              <w:left w:w="0" w:type="dxa"/>
              <w:right w:w="0" w:type="dxa"/>
            </w:tcMar>
            <w:vAlign w:val="bottom"/>
          </w:tcPr>
          <w:p w:rsidR="00A92EA7" w:rsidRPr="00CD30FA" w:rsidRDefault="00A92EA7" w:rsidP="00263BC9">
            <w:pPr>
              <w:spacing w:line="140" w:lineRule="exact"/>
              <w:rPr>
                <w:rFonts w:ascii="Times New Roman" w:hAnsi="Times New Roman" w:cs="Times New Roman"/>
                <w:sz w:val="16"/>
                <w:szCs w:val="16"/>
              </w:rPr>
            </w:pPr>
            <w:r>
              <w:rPr>
                <w:rFonts w:ascii="Times New Roman" w:hAnsi="Times New Roman" w:cs="Times New Roman" w:hint="eastAsia"/>
                <w:sz w:val="16"/>
                <w:szCs w:val="16"/>
              </w:rPr>
              <w:t>T</w:t>
            </w:r>
            <w:r>
              <w:rPr>
                <w:rFonts w:ascii="Times New Roman" w:hAnsi="Times New Roman" w:cs="Times New Roman"/>
                <w:sz w:val="16"/>
                <w:szCs w:val="16"/>
              </w:rPr>
              <w:t>his study</w:t>
            </w:r>
          </w:p>
        </w:tc>
      </w:tr>
    </w:tbl>
    <w:p w:rsidR="00EF2507" w:rsidRPr="00CD30FA" w:rsidRDefault="00EF2507" w:rsidP="00DC68A1">
      <w:pPr>
        <w:jc w:val="both"/>
        <w:rPr>
          <w:rFonts w:ascii="Times New Roman" w:hAnsi="Times New Roman" w:cs="Times New Roman"/>
          <w:b/>
          <w:sz w:val="16"/>
          <w:szCs w:val="16"/>
        </w:rPr>
      </w:pPr>
    </w:p>
    <w:tbl>
      <w:tblPr>
        <w:tblW w:w="9600" w:type="dxa"/>
        <w:tblCellMar>
          <w:left w:w="99" w:type="dxa"/>
          <w:right w:w="99" w:type="dxa"/>
        </w:tblCellMar>
        <w:tblLook w:val="04A0" w:firstRow="1" w:lastRow="0" w:firstColumn="1" w:lastColumn="0" w:noHBand="0" w:noVBand="1"/>
      </w:tblPr>
      <w:tblGrid>
        <w:gridCol w:w="1135"/>
        <w:gridCol w:w="1925"/>
        <w:gridCol w:w="1540"/>
        <w:gridCol w:w="3197"/>
        <w:gridCol w:w="1803"/>
      </w:tblGrid>
      <w:tr w:rsidR="00EF2507" w:rsidRPr="00CD30FA" w:rsidTr="00B66649">
        <w:trPr>
          <w:trHeight w:hRule="exact" w:val="397"/>
        </w:trPr>
        <w:tc>
          <w:tcPr>
            <w:tcW w:w="3060" w:type="dxa"/>
            <w:gridSpan w:val="2"/>
            <w:tcBorders>
              <w:top w:val="nil"/>
              <w:left w:val="nil"/>
              <w:bottom w:val="nil"/>
              <w:right w:val="nil"/>
            </w:tcBorders>
            <w:shd w:val="clear" w:color="auto" w:fill="auto"/>
            <w:noWrap/>
            <w:vAlign w:val="bottom"/>
            <w:hideMark/>
          </w:tcPr>
          <w:p w:rsidR="00EF2507" w:rsidRPr="00263BC9" w:rsidRDefault="00EF2507" w:rsidP="00DC68A1">
            <w:pPr>
              <w:rPr>
                <w:rFonts w:ascii="Times New Roman" w:hAnsi="Times New Roman" w:cs="Times New Roman"/>
                <w:sz w:val="20"/>
                <w:szCs w:val="20"/>
              </w:rPr>
            </w:pPr>
            <w:r w:rsidRPr="00263BC9">
              <w:rPr>
                <w:rFonts w:ascii="Times New Roman" w:hAnsi="Times New Roman" w:cs="Times New Roman"/>
                <w:sz w:val="20"/>
                <w:szCs w:val="20"/>
              </w:rPr>
              <w:t>(</w:t>
            </w:r>
            <w:r w:rsidRPr="00263BC9">
              <w:rPr>
                <w:rFonts w:ascii="Times New Roman" w:hAnsi="Times New Roman" w:cs="Times New Roman"/>
                <w:b/>
                <w:bCs/>
                <w:sz w:val="20"/>
                <w:szCs w:val="20"/>
              </w:rPr>
              <w:t>B</w:t>
            </w:r>
            <w:r w:rsidRPr="00263BC9">
              <w:rPr>
                <w:rFonts w:ascii="Times New Roman" w:hAnsi="Times New Roman" w:cs="Times New Roman"/>
                <w:sz w:val="20"/>
                <w:szCs w:val="20"/>
              </w:rPr>
              <w:t xml:space="preserve">) </w:t>
            </w:r>
            <w:r w:rsidRPr="00263BC9">
              <w:rPr>
                <w:rFonts w:ascii="Times New Roman" w:hAnsi="Times New Roman" w:cs="Times New Roman"/>
                <w:i/>
                <w:iCs/>
                <w:sz w:val="20"/>
                <w:szCs w:val="20"/>
              </w:rPr>
              <w:t xml:space="preserve">V. </w:t>
            </w:r>
            <w:proofErr w:type="spellStart"/>
            <w:r w:rsidRPr="00263BC9">
              <w:rPr>
                <w:rFonts w:ascii="Times New Roman" w:hAnsi="Times New Roman" w:cs="Times New Roman"/>
                <w:i/>
                <w:iCs/>
                <w:sz w:val="20"/>
                <w:szCs w:val="20"/>
              </w:rPr>
              <w:t>alginolyticus</w:t>
            </w:r>
            <w:proofErr w:type="spellEnd"/>
            <w:r w:rsidRPr="00263BC9">
              <w:rPr>
                <w:rFonts w:ascii="Times New Roman" w:hAnsi="Times New Roman" w:cs="Times New Roman"/>
                <w:sz w:val="20"/>
                <w:szCs w:val="20"/>
              </w:rPr>
              <w:t xml:space="preserve"> strains</w:t>
            </w:r>
          </w:p>
        </w:tc>
        <w:tc>
          <w:tcPr>
            <w:tcW w:w="1540" w:type="dxa"/>
            <w:tcBorders>
              <w:top w:val="nil"/>
              <w:left w:val="nil"/>
              <w:bottom w:val="nil"/>
              <w:right w:val="nil"/>
            </w:tcBorders>
            <w:shd w:val="clear" w:color="auto" w:fill="auto"/>
            <w:noWrap/>
            <w:vAlign w:val="bottom"/>
            <w:hideMark/>
          </w:tcPr>
          <w:p w:rsidR="00EF2507" w:rsidRPr="00CD30FA" w:rsidRDefault="00EF2507" w:rsidP="00DC68A1">
            <w:pPr>
              <w:rPr>
                <w:rFonts w:ascii="Times New Roman" w:hAnsi="Times New Roman" w:cs="Times New Roman"/>
                <w:sz w:val="16"/>
                <w:szCs w:val="16"/>
              </w:rPr>
            </w:pPr>
          </w:p>
        </w:tc>
        <w:tc>
          <w:tcPr>
            <w:tcW w:w="3197" w:type="dxa"/>
            <w:tcBorders>
              <w:top w:val="nil"/>
              <w:left w:val="nil"/>
              <w:bottom w:val="nil"/>
              <w:right w:val="nil"/>
            </w:tcBorders>
            <w:shd w:val="clear" w:color="auto" w:fill="auto"/>
            <w:noWrap/>
            <w:vAlign w:val="bottom"/>
            <w:hideMark/>
          </w:tcPr>
          <w:p w:rsidR="00EF2507" w:rsidRPr="00CD30FA" w:rsidRDefault="00EF2507" w:rsidP="00DC68A1">
            <w:pPr>
              <w:rPr>
                <w:rFonts w:ascii="Times New Roman" w:eastAsia="Times New Roman" w:hAnsi="Times New Roman" w:cs="Times New Roman"/>
                <w:sz w:val="16"/>
                <w:szCs w:val="16"/>
              </w:rPr>
            </w:pPr>
          </w:p>
        </w:tc>
        <w:tc>
          <w:tcPr>
            <w:tcW w:w="1803" w:type="dxa"/>
            <w:tcBorders>
              <w:top w:val="nil"/>
              <w:left w:val="nil"/>
              <w:bottom w:val="nil"/>
              <w:right w:val="nil"/>
            </w:tcBorders>
            <w:shd w:val="clear" w:color="auto" w:fill="auto"/>
            <w:noWrap/>
            <w:vAlign w:val="bottom"/>
            <w:hideMark/>
          </w:tcPr>
          <w:p w:rsidR="00EF2507" w:rsidRPr="00CD30FA" w:rsidRDefault="00EF2507" w:rsidP="00DC68A1">
            <w:pPr>
              <w:rPr>
                <w:rFonts w:ascii="Times New Roman" w:eastAsia="Times New Roman" w:hAnsi="Times New Roman" w:cs="Times New Roman"/>
                <w:sz w:val="16"/>
                <w:szCs w:val="16"/>
              </w:rPr>
            </w:pPr>
          </w:p>
        </w:tc>
      </w:tr>
      <w:tr w:rsidR="00EF2507" w:rsidRPr="00CD30FA" w:rsidTr="00B66649">
        <w:trPr>
          <w:trHeight w:hRule="exact" w:val="227"/>
        </w:trPr>
        <w:tc>
          <w:tcPr>
            <w:tcW w:w="1135" w:type="dxa"/>
            <w:tcBorders>
              <w:top w:val="single" w:sz="4" w:space="0" w:color="auto"/>
              <w:left w:val="nil"/>
              <w:bottom w:val="single" w:sz="8" w:space="0" w:color="auto"/>
              <w:right w:val="nil"/>
            </w:tcBorders>
            <w:shd w:val="clear" w:color="auto" w:fill="auto"/>
            <w:noWrap/>
            <w:vAlign w:val="bottom"/>
            <w:hideMark/>
          </w:tcPr>
          <w:p w:rsidR="00EF2507" w:rsidRPr="00CD30FA" w:rsidRDefault="00EF2507"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t>Strain</w:t>
            </w:r>
          </w:p>
        </w:tc>
        <w:tc>
          <w:tcPr>
            <w:tcW w:w="1925" w:type="dxa"/>
            <w:tcBorders>
              <w:top w:val="single" w:sz="4" w:space="0" w:color="auto"/>
              <w:left w:val="nil"/>
              <w:bottom w:val="single" w:sz="8" w:space="0" w:color="auto"/>
              <w:right w:val="nil"/>
            </w:tcBorders>
            <w:shd w:val="clear" w:color="auto" w:fill="auto"/>
            <w:noWrap/>
            <w:vAlign w:val="bottom"/>
            <w:hideMark/>
          </w:tcPr>
          <w:p w:rsidR="00EF2507" w:rsidRPr="00CD30FA" w:rsidRDefault="00EF2507"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t>Genotype</w:t>
            </w:r>
          </w:p>
        </w:tc>
        <w:tc>
          <w:tcPr>
            <w:tcW w:w="1540" w:type="dxa"/>
            <w:tcBorders>
              <w:top w:val="single" w:sz="4" w:space="0" w:color="auto"/>
              <w:left w:val="nil"/>
              <w:bottom w:val="single" w:sz="8" w:space="0" w:color="auto"/>
              <w:right w:val="nil"/>
            </w:tcBorders>
            <w:shd w:val="clear" w:color="auto" w:fill="auto"/>
            <w:noWrap/>
            <w:vAlign w:val="bottom"/>
            <w:hideMark/>
          </w:tcPr>
          <w:p w:rsidR="00EF2507" w:rsidRPr="00CD30FA" w:rsidRDefault="00EF2507"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t xml:space="preserve">　</w:t>
            </w:r>
          </w:p>
        </w:tc>
        <w:tc>
          <w:tcPr>
            <w:tcW w:w="3197" w:type="dxa"/>
            <w:tcBorders>
              <w:top w:val="single" w:sz="4" w:space="0" w:color="auto"/>
              <w:left w:val="nil"/>
              <w:bottom w:val="single" w:sz="8" w:space="0" w:color="auto"/>
              <w:right w:val="nil"/>
            </w:tcBorders>
            <w:shd w:val="clear" w:color="auto" w:fill="auto"/>
            <w:noWrap/>
            <w:vAlign w:val="bottom"/>
            <w:hideMark/>
          </w:tcPr>
          <w:p w:rsidR="00EF2507" w:rsidRPr="00CD30FA" w:rsidRDefault="00EF2507"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t xml:space="preserve">　</w:t>
            </w:r>
          </w:p>
        </w:tc>
        <w:tc>
          <w:tcPr>
            <w:tcW w:w="1803" w:type="dxa"/>
            <w:tcBorders>
              <w:top w:val="single" w:sz="4" w:space="0" w:color="auto"/>
              <w:left w:val="nil"/>
              <w:bottom w:val="single" w:sz="8" w:space="0" w:color="auto"/>
              <w:right w:val="nil"/>
            </w:tcBorders>
            <w:shd w:val="clear" w:color="auto" w:fill="auto"/>
            <w:noWrap/>
            <w:vAlign w:val="bottom"/>
            <w:hideMark/>
          </w:tcPr>
          <w:p w:rsidR="00EF2507" w:rsidRPr="00CD30FA" w:rsidRDefault="00EF2507"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t>Reference</w:t>
            </w:r>
          </w:p>
        </w:tc>
      </w:tr>
      <w:tr w:rsidR="00EF2507" w:rsidRPr="00CD30FA" w:rsidTr="00B66649">
        <w:trPr>
          <w:trHeight w:hRule="exact" w:val="227"/>
        </w:trPr>
        <w:tc>
          <w:tcPr>
            <w:tcW w:w="1135" w:type="dxa"/>
            <w:tcBorders>
              <w:top w:val="nil"/>
              <w:left w:val="nil"/>
              <w:bottom w:val="nil"/>
              <w:right w:val="nil"/>
            </w:tcBorders>
            <w:shd w:val="clear" w:color="auto" w:fill="auto"/>
            <w:noWrap/>
            <w:vAlign w:val="bottom"/>
            <w:hideMark/>
          </w:tcPr>
          <w:p w:rsidR="00EF2507" w:rsidRPr="00CD30FA" w:rsidRDefault="00EF2507"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t>VIO5</w:t>
            </w:r>
          </w:p>
        </w:tc>
        <w:tc>
          <w:tcPr>
            <w:tcW w:w="3465" w:type="dxa"/>
            <w:gridSpan w:val="2"/>
            <w:tcBorders>
              <w:top w:val="nil"/>
              <w:left w:val="nil"/>
              <w:bottom w:val="nil"/>
              <w:right w:val="nil"/>
            </w:tcBorders>
            <w:shd w:val="clear" w:color="auto" w:fill="auto"/>
            <w:noWrap/>
            <w:vAlign w:val="bottom"/>
            <w:hideMark/>
          </w:tcPr>
          <w:p w:rsidR="00EF2507" w:rsidRPr="00CD30FA" w:rsidRDefault="00EF2507"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t xml:space="preserve">138-2 </w:t>
            </w:r>
            <w:proofErr w:type="spellStart"/>
            <w:r w:rsidRPr="00CD30FA">
              <w:rPr>
                <w:rFonts w:ascii="Times New Roman" w:hAnsi="Times New Roman" w:cs="Times New Roman"/>
                <w:sz w:val="16"/>
                <w:szCs w:val="16"/>
              </w:rPr>
              <w:t>Rif</w:t>
            </w:r>
            <w:r w:rsidRPr="00CD30FA">
              <w:rPr>
                <w:rFonts w:ascii="Times New Roman" w:hAnsi="Times New Roman" w:cs="Times New Roman"/>
                <w:sz w:val="16"/>
                <w:szCs w:val="16"/>
                <w:vertAlign w:val="superscript"/>
              </w:rPr>
              <w:t>R</w:t>
            </w:r>
            <w:proofErr w:type="spellEnd"/>
            <w:r w:rsidRPr="00CD30FA">
              <w:rPr>
                <w:rFonts w:ascii="Times New Roman" w:hAnsi="Times New Roman" w:cs="Times New Roman"/>
                <w:sz w:val="16"/>
                <w:szCs w:val="16"/>
              </w:rPr>
              <w:t xml:space="preserve"> </w:t>
            </w:r>
            <w:proofErr w:type="spellStart"/>
            <w:r w:rsidRPr="00CD30FA">
              <w:rPr>
                <w:rFonts w:ascii="Times New Roman" w:hAnsi="Times New Roman" w:cs="Times New Roman"/>
                <w:sz w:val="16"/>
                <w:szCs w:val="16"/>
              </w:rPr>
              <w:t>Pof</w:t>
            </w:r>
            <w:proofErr w:type="spellEnd"/>
            <w:r w:rsidRPr="00CD30FA">
              <w:rPr>
                <w:rFonts w:cs="Times New Roman" w:hint="eastAsia"/>
                <w:sz w:val="16"/>
                <w:szCs w:val="16"/>
                <w:vertAlign w:val="superscript"/>
              </w:rPr>
              <w:t>+</w:t>
            </w:r>
            <w:r w:rsidRPr="00CD30FA">
              <w:rPr>
                <w:rFonts w:ascii="Times New Roman" w:hAnsi="Times New Roman" w:cs="Times New Roman"/>
                <w:sz w:val="16"/>
                <w:szCs w:val="16"/>
              </w:rPr>
              <w:t xml:space="preserve"> </w:t>
            </w:r>
            <w:proofErr w:type="spellStart"/>
            <w:r w:rsidRPr="00CD30FA">
              <w:rPr>
                <w:rFonts w:ascii="Times New Roman" w:hAnsi="Times New Roman" w:cs="Times New Roman"/>
                <w:sz w:val="16"/>
                <w:szCs w:val="16"/>
              </w:rPr>
              <w:t>Laf</w:t>
            </w:r>
            <w:proofErr w:type="spellEnd"/>
            <w:r w:rsidRPr="00CD30FA">
              <w:rPr>
                <w:rFonts w:cs="Times New Roman" w:hint="eastAsia"/>
                <w:sz w:val="16"/>
                <w:szCs w:val="16"/>
                <w:vertAlign w:val="superscript"/>
              </w:rPr>
              <w:t>-</w:t>
            </w:r>
          </w:p>
        </w:tc>
        <w:tc>
          <w:tcPr>
            <w:tcW w:w="3197" w:type="dxa"/>
            <w:tcBorders>
              <w:top w:val="nil"/>
              <w:left w:val="nil"/>
              <w:bottom w:val="nil"/>
              <w:right w:val="nil"/>
            </w:tcBorders>
            <w:shd w:val="clear" w:color="auto" w:fill="auto"/>
            <w:noWrap/>
            <w:vAlign w:val="bottom"/>
            <w:hideMark/>
          </w:tcPr>
          <w:p w:rsidR="00EF2507" w:rsidRPr="00CD30FA" w:rsidRDefault="00EF2507" w:rsidP="00263BC9">
            <w:pPr>
              <w:spacing w:line="140" w:lineRule="exact"/>
              <w:rPr>
                <w:rFonts w:ascii="Times New Roman" w:hAnsi="Times New Roman" w:cs="Times New Roman"/>
                <w:sz w:val="16"/>
                <w:szCs w:val="16"/>
              </w:rPr>
            </w:pPr>
          </w:p>
        </w:tc>
        <w:tc>
          <w:tcPr>
            <w:tcW w:w="1803" w:type="dxa"/>
            <w:tcBorders>
              <w:top w:val="nil"/>
              <w:left w:val="nil"/>
              <w:bottom w:val="nil"/>
              <w:right w:val="nil"/>
            </w:tcBorders>
            <w:shd w:val="clear" w:color="auto" w:fill="auto"/>
            <w:noWrap/>
            <w:vAlign w:val="bottom"/>
            <w:hideMark/>
          </w:tcPr>
          <w:p w:rsidR="00EF2507" w:rsidRPr="00CD30FA" w:rsidRDefault="00111010"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fldChar w:fldCharType="begin" w:fldLock="1"/>
            </w:r>
            <w:r w:rsidR="00B66649">
              <w:rPr>
                <w:rFonts w:ascii="Times New Roman" w:hAnsi="Times New Roman" w:cs="Times New Roman"/>
                <w:sz w:val="16"/>
                <w:szCs w:val="16"/>
              </w:rPr>
              <w:instrText>ADDIN CSL_CITATION {"citationItems":[{"id":"ITEM-1","itemData":{"DOI":"10.1128/jb.178.8.2409-2415.1996","ISSN":"0021-9193 (Print)","PMID":"8636046","abstract":"The bacterial flagellar motor is a molecular machine that couples proton or sodium influx to force generation for driving rotation of the helical flagellar filament. In this study, we cloned a gene (motY) encoding a component of the sodium-driven polar flagellar motor in Vibrio alginolyticus. Nucleotide sequence analysis revealed that the gene encodes a 293-amino-acid polypeptide with a single putative transmembrane segment that is very similar (94.5% identity) to the recently described MotY of V. parahaemolyticus. Their C-terminal domains were similar to the C-terminal domains of many peptidoglycan-interacting proteins, e.g., Escherichia coli MotB and OmpA, suggesting that MotY may interact with peptidoglycan for anchoring the motor. By using the lac promoter-repressor system, motY expression was controlled in V. alginolyticus cells. Swimming ability increased with increasing concentrations of the inducer isopropyl-beta-D-thiogalactopyranoside, and the swimming fraction increased after induction. These results are consistent with the notion that MotY is a component of the force-generating unit. V. alginolyticus motY complemented the motY mutation of V. parahaemolyticus. However, motY appeared to lack a region corresponding to the proposed motY promoter of V. parahaemolyticus. Instead, sequences similar to the sigma54 consensus were found in the upstream regions of both species. We propose that they are transcribed from the sigma54 -specific promoters.","author":[{"dropping-particle":"","family":"Okunishi","given":"I","non-dropping-particle":"","parse-names":false,"suffix":""},{"dropping-particle":"","family":"Kawagishi","given":"I","non-dropping-particle":"","parse-names":false,"suffix":""},{"dropping-particle":"","family":"Homma","given":"M","non-dropping-particle":"","parse-names":false,"suffix":""}],"container-title":"Journal of bacteriology","id":"ITEM-1","issue":"8","issued":{"date-parts":[["1996","4"]]},"language":"eng","page":"2409-2415","title":"Cloning and characterization of &lt;i&gt;motY&lt;/i&gt;, a gene coding for a component of the sodium-driven flagellar motor in &lt;i&gt;Vibrio alginolyticus&lt;/i&gt;.","type":"article-journal","volume":"178"},"uris":["http://www.mendeley.com/documents/?uuid=27d4002b-f4b2-4348-90c9-ec8ec8ae2676"]}],"mendeley":{"formattedCitation":"(Okunishi et al., 1996)","plainTextFormattedCitation":"(Okunishi et al., 1996)","previouslyFormattedCitation":"(Okunishi et al., 1996)"},"properties":{"noteIndex":0},"schema":"https://github.com/citation-style-language/schema/raw/master/csl-citation.json"}</w:instrText>
            </w:r>
            <w:r w:rsidRPr="00CD30FA">
              <w:rPr>
                <w:rFonts w:ascii="Times New Roman" w:hAnsi="Times New Roman" w:cs="Times New Roman"/>
                <w:sz w:val="16"/>
                <w:szCs w:val="16"/>
              </w:rPr>
              <w:fldChar w:fldCharType="separate"/>
            </w:r>
            <w:r w:rsidR="00B66649" w:rsidRPr="00B66649">
              <w:rPr>
                <w:rFonts w:ascii="Times New Roman" w:hAnsi="Times New Roman" w:cs="Times New Roman"/>
                <w:noProof/>
                <w:sz w:val="16"/>
                <w:szCs w:val="16"/>
              </w:rPr>
              <w:t>(Okunishi et al., 1996)</w:t>
            </w:r>
            <w:r w:rsidRPr="00CD30FA">
              <w:rPr>
                <w:rFonts w:ascii="Times New Roman" w:hAnsi="Times New Roman" w:cs="Times New Roman"/>
                <w:sz w:val="16"/>
                <w:szCs w:val="16"/>
              </w:rPr>
              <w:fldChar w:fldCharType="end"/>
            </w:r>
          </w:p>
        </w:tc>
      </w:tr>
      <w:tr w:rsidR="00EF2507" w:rsidRPr="00CD30FA" w:rsidTr="00B66649">
        <w:trPr>
          <w:trHeight w:hRule="exact" w:val="227"/>
        </w:trPr>
        <w:tc>
          <w:tcPr>
            <w:tcW w:w="1135" w:type="dxa"/>
            <w:tcBorders>
              <w:top w:val="nil"/>
              <w:left w:val="nil"/>
              <w:bottom w:val="nil"/>
              <w:right w:val="nil"/>
            </w:tcBorders>
            <w:shd w:val="clear" w:color="auto" w:fill="auto"/>
            <w:noWrap/>
            <w:vAlign w:val="bottom"/>
            <w:hideMark/>
          </w:tcPr>
          <w:p w:rsidR="00EF2507" w:rsidRPr="00CD30FA" w:rsidRDefault="00EF2507"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t>NR23</w:t>
            </w:r>
          </w:p>
        </w:tc>
        <w:tc>
          <w:tcPr>
            <w:tcW w:w="3465" w:type="dxa"/>
            <w:gridSpan w:val="2"/>
            <w:tcBorders>
              <w:top w:val="nil"/>
              <w:left w:val="nil"/>
              <w:bottom w:val="nil"/>
              <w:right w:val="nil"/>
            </w:tcBorders>
            <w:shd w:val="clear" w:color="auto" w:fill="auto"/>
            <w:noWrap/>
            <w:vAlign w:val="bottom"/>
            <w:hideMark/>
          </w:tcPr>
          <w:p w:rsidR="00EF2507" w:rsidRPr="00CD30FA" w:rsidRDefault="00EF2507"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t>VIO5 Δ</w:t>
            </w:r>
            <w:proofErr w:type="gramStart"/>
            <w:r w:rsidRPr="00CD30FA">
              <w:rPr>
                <w:rFonts w:ascii="Times New Roman" w:hAnsi="Times New Roman" w:cs="Times New Roman"/>
                <w:i/>
                <w:iCs/>
                <w:sz w:val="16"/>
                <w:szCs w:val="16"/>
              </w:rPr>
              <w:t>V.secDF</w:t>
            </w:r>
            <w:proofErr w:type="gramEnd"/>
            <w:r w:rsidRPr="00CD30FA">
              <w:rPr>
                <w:rFonts w:ascii="Times New Roman" w:hAnsi="Times New Roman" w:cs="Times New Roman"/>
                <w:i/>
                <w:iCs/>
                <w:sz w:val="16"/>
                <w:szCs w:val="16"/>
              </w:rPr>
              <w:t>1</w:t>
            </w:r>
            <w:r w:rsidRPr="00CD30FA">
              <w:rPr>
                <w:rFonts w:ascii="Times New Roman" w:hAnsi="Times New Roman" w:cs="Times New Roman"/>
                <w:sz w:val="16"/>
                <w:szCs w:val="16"/>
              </w:rPr>
              <w:t>::</w:t>
            </w:r>
            <w:proofErr w:type="spellStart"/>
            <w:r w:rsidRPr="00CD30FA">
              <w:rPr>
                <w:rFonts w:ascii="Times New Roman" w:hAnsi="Times New Roman" w:cs="Times New Roman"/>
                <w:i/>
                <w:iCs/>
                <w:sz w:val="16"/>
                <w:szCs w:val="16"/>
              </w:rPr>
              <w:t>kan</w:t>
            </w:r>
            <w:proofErr w:type="spellEnd"/>
          </w:p>
        </w:tc>
        <w:tc>
          <w:tcPr>
            <w:tcW w:w="3197" w:type="dxa"/>
            <w:tcBorders>
              <w:top w:val="nil"/>
              <w:left w:val="nil"/>
              <w:bottom w:val="nil"/>
              <w:right w:val="nil"/>
            </w:tcBorders>
            <w:shd w:val="clear" w:color="auto" w:fill="auto"/>
            <w:noWrap/>
            <w:vAlign w:val="bottom"/>
            <w:hideMark/>
          </w:tcPr>
          <w:p w:rsidR="00EF2507" w:rsidRPr="00CD30FA" w:rsidRDefault="00EF2507" w:rsidP="00263BC9">
            <w:pPr>
              <w:spacing w:line="140" w:lineRule="exact"/>
              <w:rPr>
                <w:rFonts w:ascii="Times New Roman" w:hAnsi="Times New Roman" w:cs="Times New Roman"/>
                <w:sz w:val="16"/>
                <w:szCs w:val="16"/>
              </w:rPr>
            </w:pPr>
          </w:p>
        </w:tc>
        <w:tc>
          <w:tcPr>
            <w:tcW w:w="1803" w:type="dxa"/>
            <w:tcBorders>
              <w:top w:val="nil"/>
              <w:left w:val="nil"/>
              <w:bottom w:val="nil"/>
              <w:right w:val="nil"/>
            </w:tcBorders>
            <w:shd w:val="clear" w:color="auto" w:fill="auto"/>
            <w:noWrap/>
            <w:vAlign w:val="bottom"/>
            <w:hideMark/>
          </w:tcPr>
          <w:p w:rsidR="00EF2507" w:rsidRPr="00CD30FA" w:rsidRDefault="002A6990"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fldChar w:fldCharType="begin" w:fldLock="1"/>
            </w:r>
            <w:r w:rsidR="00B66649">
              <w:rPr>
                <w:rFonts w:ascii="Times New Roman" w:hAnsi="Times New Roman" w:cs="Times New Roman"/>
                <w:sz w:val="16"/>
                <w:szCs w:val="16"/>
              </w:rPr>
              <w:instrText>ADDIN CSL_CITATION {"citationItems":[{"id":"ITEM-1","itemData":{"DOI":"10.1073/pnas.1513001112","ISSN":"1091-6490 (Electronic)","PMID":"26392525","abstract":"SecDF interacts with the SecYEG translocon in bacteria and enhances protein export in a proton-motive-force-dependent manner. Vibrio alginolyticus, a marine-estuarine bacterium, contains two SecDF paralogs, V.SecDF1 and V.SecDF2. Here, we show that the export-enhancing function of V.SecDF1 requires Na+ instead of H+, whereas V.SecDF2 is Na+-independent, presumably requiring H+. In accord with the cation-preference difference, V.SecDF2 was only expressed under limited Na+ concentrations whereas V.SecDF1 was constitutive. However, it is not the decreased concentration of Na+ per se that the bacterium senses to up-regulate the V.SecDF2 expression, because marked up-regulation of the V.SecDF2 synthesis was observed irrespective of Na+ concentrations under certain genetic/physiological conditions: (i) when the secDF1VA gene was deleted and (ii) whenever the Sec export machinery was inhibited. VemP (Vibrio export monitoring polypeptide), a secretory polypeptide encoded by the upstream ORF of secDF2VA, plays the primary role in this regulation by undergoing regulated translational elongation arrest, which leads to unfolding of the Shine-Dalgarno sequence for translation of secDF2VA. Genetic analysis of V. alginolyticus established that the VemP-mediated regulation of SecDF2 is essential for the survival of this marine bacterium in low-salinity environments. These results reveal that a class of marine bacteria exploits nascent-chain ribosome interactions to optimize their protein export pathways to propagate efficiently under different ionic environments that they face in their life cycles.","author":[{"dropping-particle":"","family":"Ishii","given":"Eiji","non-dropping-particle":"","parse-names":false,"suffix":""},{"dropping-particle":"","family":"Chiba","given":"Shinobu","non-dropping-particle":"","parse-names":false,"suffix":""},{"dropping-particle":"","family":"Hashimoto","given":"Narimasa","non-dropping-particle":"","parse-names":false,"suffix":""},{"dropping-particle":"","family":"Kojima","given":"Seiji","non-dropping-particle":"","parse-names":false,"suffix":""},{"dropping-particle":"","family":"Homma","given":"Michio","non-dropping-particle":"","parse-names":false,"suffix":""},{"dropping-particle":"","family":"Ito","given":"Koreaki","non-dropping-particle":"","parse-names":false,"suffix":""},{"dropping-particle":"","family":"Akiyama","given":"Yoshinori","non-dropping-particle":"","parse-names":false,"suffix":""},{"dropping-particle":"","family":"Mori","given":"Hiroyuki","non-dropping-particle":"","parse-names":false,"suffix":""}],"container-title":"Proceedings of the National Academy of Sciences of the United States of America","id":"ITEM-1","issue":"40","issued":{"date-parts":[["2015","10"]]},"language":"eng","page":"E5513-22","title":"Nascent chain-monitored remodeling of the Sec machinery for salinity adaptation of marine bacteria.","type":"article-journal","volume":"112"},"uris":["http://www.mendeley.com/documents/?uuid=d182cb76-4913-4fdf-8d66-2667fa1ac65f"]}],"mendeley":{"formattedCitation":"(Ishii et al., 2015)","plainTextFormattedCitation":"(Ishii et al., 2015)","previouslyFormattedCitation":"(Ishii et al., 2015)"},"properties":{"noteIndex":0},"schema":"https://github.com/citation-style-language/schema/raw/master/csl-citation.json"}</w:instrText>
            </w:r>
            <w:r w:rsidRPr="00CD30FA">
              <w:rPr>
                <w:rFonts w:ascii="Times New Roman" w:hAnsi="Times New Roman" w:cs="Times New Roman"/>
                <w:sz w:val="16"/>
                <w:szCs w:val="16"/>
              </w:rPr>
              <w:fldChar w:fldCharType="separate"/>
            </w:r>
            <w:r w:rsidR="00B66649" w:rsidRPr="00B66649">
              <w:rPr>
                <w:rFonts w:ascii="Times New Roman" w:hAnsi="Times New Roman" w:cs="Times New Roman"/>
                <w:noProof/>
                <w:sz w:val="16"/>
                <w:szCs w:val="16"/>
              </w:rPr>
              <w:t>(Ishii et al., 2015)</w:t>
            </w:r>
            <w:r w:rsidRPr="00CD30FA">
              <w:rPr>
                <w:rFonts w:ascii="Times New Roman" w:hAnsi="Times New Roman" w:cs="Times New Roman"/>
                <w:sz w:val="16"/>
                <w:szCs w:val="16"/>
              </w:rPr>
              <w:fldChar w:fldCharType="end"/>
            </w:r>
          </w:p>
        </w:tc>
      </w:tr>
      <w:tr w:rsidR="00EF2507" w:rsidRPr="00CD30FA" w:rsidTr="00B66649">
        <w:trPr>
          <w:trHeight w:hRule="exact" w:val="227"/>
        </w:trPr>
        <w:tc>
          <w:tcPr>
            <w:tcW w:w="1135" w:type="dxa"/>
            <w:tcBorders>
              <w:top w:val="nil"/>
              <w:left w:val="nil"/>
              <w:bottom w:val="nil"/>
              <w:right w:val="nil"/>
            </w:tcBorders>
            <w:shd w:val="clear" w:color="auto" w:fill="auto"/>
            <w:noWrap/>
            <w:vAlign w:val="bottom"/>
            <w:hideMark/>
          </w:tcPr>
          <w:p w:rsidR="00EF2507" w:rsidRPr="00CD30FA" w:rsidRDefault="00EF2507"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t>HM3740</w:t>
            </w:r>
          </w:p>
        </w:tc>
        <w:tc>
          <w:tcPr>
            <w:tcW w:w="3465" w:type="dxa"/>
            <w:gridSpan w:val="2"/>
            <w:tcBorders>
              <w:top w:val="nil"/>
              <w:left w:val="nil"/>
              <w:bottom w:val="nil"/>
              <w:right w:val="nil"/>
            </w:tcBorders>
            <w:shd w:val="clear" w:color="auto" w:fill="auto"/>
            <w:noWrap/>
            <w:vAlign w:val="bottom"/>
            <w:hideMark/>
          </w:tcPr>
          <w:p w:rsidR="00EF2507" w:rsidRPr="00CD30FA" w:rsidRDefault="00EF2507"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t>VIO5 Δ</w:t>
            </w:r>
            <w:proofErr w:type="gramStart"/>
            <w:r w:rsidRPr="00CD30FA">
              <w:rPr>
                <w:rFonts w:ascii="Times New Roman" w:hAnsi="Times New Roman" w:cs="Times New Roman"/>
                <w:i/>
                <w:iCs/>
                <w:sz w:val="16"/>
                <w:szCs w:val="16"/>
              </w:rPr>
              <w:t>V.secDF</w:t>
            </w:r>
            <w:proofErr w:type="gramEnd"/>
            <w:r w:rsidRPr="00CD30FA">
              <w:rPr>
                <w:rFonts w:ascii="Times New Roman" w:hAnsi="Times New Roman" w:cs="Times New Roman"/>
                <w:i/>
                <w:iCs/>
                <w:sz w:val="16"/>
                <w:szCs w:val="16"/>
              </w:rPr>
              <w:t>2</w:t>
            </w:r>
            <w:r w:rsidRPr="00CD30FA">
              <w:rPr>
                <w:rFonts w:ascii="Times New Roman" w:hAnsi="Times New Roman" w:cs="Times New Roman"/>
                <w:sz w:val="16"/>
                <w:szCs w:val="16"/>
              </w:rPr>
              <w:t>::</w:t>
            </w:r>
            <w:proofErr w:type="spellStart"/>
            <w:r w:rsidRPr="00CD30FA">
              <w:rPr>
                <w:rFonts w:ascii="Times New Roman" w:hAnsi="Times New Roman" w:cs="Times New Roman"/>
                <w:i/>
                <w:iCs/>
                <w:sz w:val="16"/>
                <w:szCs w:val="16"/>
              </w:rPr>
              <w:t>kan</w:t>
            </w:r>
            <w:proofErr w:type="spellEnd"/>
          </w:p>
        </w:tc>
        <w:tc>
          <w:tcPr>
            <w:tcW w:w="3197" w:type="dxa"/>
            <w:tcBorders>
              <w:top w:val="nil"/>
              <w:left w:val="nil"/>
              <w:bottom w:val="nil"/>
              <w:right w:val="nil"/>
            </w:tcBorders>
            <w:shd w:val="clear" w:color="auto" w:fill="auto"/>
            <w:noWrap/>
            <w:vAlign w:val="bottom"/>
            <w:hideMark/>
          </w:tcPr>
          <w:p w:rsidR="00EF2507" w:rsidRPr="00CD30FA" w:rsidRDefault="00EF2507" w:rsidP="00263BC9">
            <w:pPr>
              <w:spacing w:line="140" w:lineRule="exact"/>
              <w:rPr>
                <w:rFonts w:ascii="Times New Roman" w:hAnsi="Times New Roman" w:cs="Times New Roman"/>
                <w:sz w:val="16"/>
                <w:szCs w:val="16"/>
              </w:rPr>
            </w:pPr>
          </w:p>
        </w:tc>
        <w:tc>
          <w:tcPr>
            <w:tcW w:w="1803" w:type="dxa"/>
            <w:tcBorders>
              <w:top w:val="nil"/>
              <w:left w:val="nil"/>
              <w:bottom w:val="nil"/>
              <w:right w:val="nil"/>
            </w:tcBorders>
            <w:shd w:val="clear" w:color="auto" w:fill="auto"/>
            <w:noWrap/>
            <w:vAlign w:val="bottom"/>
            <w:hideMark/>
          </w:tcPr>
          <w:p w:rsidR="00EF2507" w:rsidRPr="00CD30FA" w:rsidRDefault="004812C9" w:rsidP="00263BC9">
            <w:pPr>
              <w:spacing w:line="140" w:lineRule="exact"/>
              <w:rPr>
                <w:rFonts w:ascii="Times New Roman" w:hAnsi="Times New Roman" w:cs="Times New Roman"/>
                <w:sz w:val="16"/>
                <w:szCs w:val="16"/>
              </w:rPr>
            </w:pPr>
            <w:r>
              <w:rPr>
                <w:rFonts w:ascii="Times New Roman" w:hAnsi="Times New Roman" w:cs="Times New Roman"/>
                <w:sz w:val="16"/>
                <w:szCs w:val="16"/>
              </w:rPr>
              <w:fldChar w:fldCharType="begin" w:fldLock="1"/>
            </w:r>
            <w:r w:rsidR="00394479">
              <w:rPr>
                <w:rFonts w:ascii="Times New Roman" w:hAnsi="Times New Roman" w:cs="Times New Roman"/>
                <w:sz w:val="16"/>
                <w:szCs w:val="16"/>
              </w:rPr>
              <w:instrText>ADDIN CSL_CITATION {"citationItems":[{"id":"ITEM-1","itemData":{"DOI":"10.1073/pnas.1513001112","ISSN":"1091-6490 (Electronic)","PMID":"26392525","abstract":"SecDF interacts with the SecYEG translocon in bacteria and enhances protein export in a proton-motive-force-dependent manner. Vibrio alginolyticus, a marine-estuarine bacterium, contains two SecDF paralogs, V.SecDF1 and V.SecDF2. Here, we show that the export-enhancing function of V.SecDF1 requires Na+ instead of H+, whereas V.SecDF2 is Na+-independent, presumably requiring H+. In accord with the cation-preference difference, V.SecDF2 was only expressed under limited Na+ concentrations whereas V.SecDF1 was constitutive. However, it is not the decreased concentration of Na+ per se that the bacterium senses to up-regulate the V.SecDF2 expression, because marked up-regulation of the V.SecDF2 synthesis was observed irrespective of Na+ concentrations under certain genetic/physiological conditions: (i) when the secDF1VA gene was deleted and (ii) whenever the Sec export machinery was inhibited. VemP (Vibrio export monitoring polypeptide), a secretory polypeptide encoded by the upstream ORF of secDF2VA, plays the primary role in this regulation by undergoing regulated translational elongation arrest, which leads to unfolding of the Shine-Dalgarno sequence for translation of secDF2VA. Genetic analysis of V. alginolyticus established that the VemP-mediated regulation of SecDF2 is essential for the survival of this marine bacterium in low-salinity environments. These results reveal that a class of marine bacteria exploits nascent-chain ribosome interactions to optimize their protein export pathways to propagate efficiently under different ionic environments that they face in their life cycles.","author":[{"dropping-particle":"","family":"Ishii","given":"Eiji","non-dropping-particle":"","parse-names":false,"suffix":""},{"dropping-particle":"","family":"Chiba","given":"Shinobu","non-dropping-particle":"","parse-names":false,"suffix":""},{"dropping-particle":"","family":"Hashimoto","given":"Narimasa","non-dropping-particle":"","parse-names":false,"suffix":""},{"dropping-particle":"","family":"Kojima","given":"Seiji","non-dropping-particle":"","parse-names":false,"suffix":""},{"dropping-particle":"","family":"Homma","given":"Michio","non-dropping-particle":"","parse-names":false,"suffix":""},{"dropping-particle":"","family":"Ito","given":"Koreaki","non-dropping-particle":"","parse-names":false,"suffix":""},{"dropping-particle":"","family":"Akiyama","given":"Yoshinori","non-dropping-particle":"","parse-names":false,"suffix":""},{"dropping-particle":"","family":"Mori","given":"Hiroyuki","non-dropping-particle":"","parse-names":false,"suffix":""}],"container-title":"Proceedings of the National Academy of Sciences of the United States of America","id":"ITEM-1","issue":"40","issued":{"date-parts":[["2015","10"]]},"language":"eng","page":"E5513-22","title":"Nascent chain-monitored remodeling of the Sec machinery for salinity adaptation of marine bacteria.","type":"article-journal","volume":"112"},"uris":["http://www.mendeley.com/documents/?uuid=d182cb76-4913-4fdf-8d66-2667fa1ac65f"]}],"mendeley":{"formattedCitation":"(Ishii et al., 2015)","plainTextFormattedCitation":"(Ishii et al., 2015)","previouslyFormattedCitation":"(Ishii et al., 2015)"},"properties":{"noteIndex":0},"schema":"https://github.com/citation-style-language/schema/raw/master/csl-citation.json"}</w:instrText>
            </w:r>
            <w:r>
              <w:rPr>
                <w:rFonts w:ascii="Times New Roman" w:hAnsi="Times New Roman" w:cs="Times New Roman"/>
                <w:sz w:val="16"/>
                <w:szCs w:val="16"/>
              </w:rPr>
              <w:fldChar w:fldCharType="separate"/>
            </w:r>
            <w:r w:rsidRPr="004812C9">
              <w:rPr>
                <w:rFonts w:ascii="Times New Roman" w:hAnsi="Times New Roman" w:cs="Times New Roman"/>
                <w:noProof/>
                <w:sz w:val="16"/>
                <w:szCs w:val="16"/>
              </w:rPr>
              <w:t>(Ishii et al., 2015)</w:t>
            </w:r>
            <w:r>
              <w:rPr>
                <w:rFonts w:ascii="Times New Roman" w:hAnsi="Times New Roman" w:cs="Times New Roman"/>
                <w:sz w:val="16"/>
                <w:szCs w:val="16"/>
              </w:rPr>
              <w:fldChar w:fldCharType="end"/>
            </w:r>
          </w:p>
        </w:tc>
      </w:tr>
      <w:tr w:rsidR="00EF2507" w:rsidRPr="00CD30FA" w:rsidTr="00B66649">
        <w:trPr>
          <w:trHeight w:hRule="exact" w:val="227"/>
        </w:trPr>
        <w:tc>
          <w:tcPr>
            <w:tcW w:w="1135" w:type="dxa"/>
            <w:tcBorders>
              <w:top w:val="nil"/>
              <w:left w:val="nil"/>
              <w:bottom w:val="nil"/>
              <w:right w:val="nil"/>
            </w:tcBorders>
            <w:shd w:val="clear" w:color="auto" w:fill="auto"/>
            <w:noWrap/>
            <w:vAlign w:val="bottom"/>
            <w:hideMark/>
          </w:tcPr>
          <w:p w:rsidR="00EF2507" w:rsidRPr="00CD30FA" w:rsidRDefault="00EF2507"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t>RMV2</w:t>
            </w:r>
          </w:p>
        </w:tc>
        <w:tc>
          <w:tcPr>
            <w:tcW w:w="1925" w:type="dxa"/>
            <w:tcBorders>
              <w:top w:val="nil"/>
              <w:left w:val="nil"/>
              <w:bottom w:val="nil"/>
              <w:right w:val="nil"/>
            </w:tcBorders>
            <w:shd w:val="clear" w:color="auto" w:fill="auto"/>
            <w:noWrap/>
            <w:vAlign w:val="bottom"/>
            <w:hideMark/>
          </w:tcPr>
          <w:p w:rsidR="00EF2507" w:rsidRPr="00CD30FA" w:rsidRDefault="00EF2507"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t xml:space="preserve">VIO5 </w:t>
            </w:r>
            <w:proofErr w:type="spellStart"/>
            <w:r w:rsidRPr="00CD30FA">
              <w:rPr>
                <w:rFonts w:ascii="Times New Roman" w:hAnsi="Times New Roman" w:cs="Times New Roman"/>
                <w:sz w:val="16"/>
                <w:szCs w:val="16"/>
              </w:rPr>
              <w:t>Δ</w:t>
            </w:r>
            <w:proofErr w:type="gramStart"/>
            <w:r w:rsidRPr="00CD30FA">
              <w:rPr>
                <w:rFonts w:ascii="Times New Roman" w:hAnsi="Times New Roman" w:cs="Times New Roman"/>
                <w:i/>
                <w:iCs/>
                <w:sz w:val="16"/>
                <w:szCs w:val="16"/>
              </w:rPr>
              <w:t>V.ppiD</w:t>
            </w:r>
            <w:proofErr w:type="spellEnd"/>
            <w:proofErr w:type="gramEnd"/>
          </w:p>
        </w:tc>
        <w:tc>
          <w:tcPr>
            <w:tcW w:w="1540" w:type="dxa"/>
            <w:tcBorders>
              <w:top w:val="nil"/>
              <w:left w:val="nil"/>
              <w:bottom w:val="nil"/>
              <w:right w:val="nil"/>
            </w:tcBorders>
            <w:shd w:val="clear" w:color="auto" w:fill="auto"/>
            <w:noWrap/>
            <w:vAlign w:val="bottom"/>
            <w:hideMark/>
          </w:tcPr>
          <w:p w:rsidR="00EF2507" w:rsidRPr="00CD30FA" w:rsidRDefault="00EF2507" w:rsidP="00263BC9">
            <w:pPr>
              <w:spacing w:line="140" w:lineRule="exact"/>
              <w:rPr>
                <w:rFonts w:ascii="Times New Roman" w:hAnsi="Times New Roman" w:cs="Times New Roman"/>
                <w:sz w:val="16"/>
                <w:szCs w:val="16"/>
              </w:rPr>
            </w:pPr>
          </w:p>
        </w:tc>
        <w:tc>
          <w:tcPr>
            <w:tcW w:w="3197" w:type="dxa"/>
            <w:tcBorders>
              <w:top w:val="nil"/>
              <w:left w:val="nil"/>
              <w:bottom w:val="nil"/>
              <w:right w:val="nil"/>
            </w:tcBorders>
            <w:shd w:val="clear" w:color="auto" w:fill="auto"/>
            <w:noWrap/>
            <w:vAlign w:val="bottom"/>
            <w:hideMark/>
          </w:tcPr>
          <w:p w:rsidR="00EF2507" w:rsidRPr="00CD30FA" w:rsidRDefault="00EF2507" w:rsidP="00263BC9">
            <w:pPr>
              <w:spacing w:line="140" w:lineRule="exact"/>
              <w:rPr>
                <w:rFonts w:ascii="Times New Roman" w:eastAsia="Times New Roman" w:hAnsi="Times New Roman" w:cs="Times New Roman"/>
                <w:sz w:val="16"/>
                <w:szCs w:val="16"/>
              </w:rPr>
            </w:pPr>
          </w:p>
        </w:tc>
        <w:tc>
          <w:tcPr>
            <w:tcW w:w="1803" w:type="dxa"/>
            <w:tcBorders>
              <w:top w:val="nil"/>
              <w:left w:val="nil"/>
              <w:bottom w:val="nil"/>
              <w:right w:val="nil"/>
            </w:tcBorders>
            <w:shd w:val="clear" w:color="auto" w:fill="auto"/>
            <w:noWrap/>
            <w:vAlign w:val="bottom"/>
            <w:hideMark/>
          </w:tcPr>
          <w:p w:rsidR="00EF2507" w:rsidRPr="00CD30FA" w:rsidRDefault="00EF2507"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t>This study</w:t>
            </w:r>
          </w:p>
        </w:tc>
      </w:tr>
      <w:tr w:rsidR="00EF2507" w:rsidRPr="00CD30FA" w:rsidTr="00B66649">
        <w:trPr>
          <w:trHeight w:hRule="exact" w:val="227"/>
        </w:trPr>
        <w:tc>
          <w:tcPr>
            <w:tcW w:w="1135" w:type="dxa"/>
            <w:tcBorders>
              <w:top w:val="nil"/>
              <w:left w:val="nil"/>
              <w:bottom w:val="single" w:sz="4" w:space="0" w:color="auto"/>
              <w:right w:val="nil"/>
            </w:tcBorders>
            <w:shd w:val="clear" w:color="auto" w:fill="auto"/>
            <w:noWrap/>
            <w:vAlign w:val="bottom"/>
            <w:hideMark/>
          </w:tcPr>
          <w:p w:rsidR="00EF2507" w:rsidRPr="00CD30FA" w:rsidRDefault="00EF2507"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t>RMV7</w:t>
            </w:r>
          </w:p>
        </w:tc>
        <w:tc>
          <w:tcPr>
            <w:tcW w:w="1925" w:type="dxa"/>
            <w:tcBorders>
              <w:top w:val="nil"/>
              <w:left w:val="nil"/>
              <w:bottom w:val="single" w:sz="4" w:space="0" w:color="auto"/>
              <w:right w:val="nil"/>
            </w:tcBorders>
            <w:shd w:val="clear" w:color="auto" w:fill="auto"/>
            <w:noWrap/>
            <w:vAlign w:val="bottom"/>
            <w:hideMark/>
          </w:tcPr>
          <w:p w:rsidR="00EF2507" w:rsidRPr="00CD30FA" w:rsidRDefault="00EF2507"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t>VIO5 P</w:t>
            </w:r>
            <w:r w:rsidRPr="00CD30FA">
              <w:rPr>
                <w:rFonts w:ascii="Times New Roman" w:hAnsi="Times New Roman" w:cs="Times New Roman"/>
                <w:i/>
                <w:iCs/>
                <w:sz w:val="16"/>
                <w:szCs w:val="16"/>
                <w:vertAlign w:val="subscript"/>
              </w:rPr>
              <w:t>ara</w:t>
            </w:r>
            <w:r w:rsidRPr="00CD30FA">
              <w:rPr>
                <w:rFonts w:ascii="Times New Roman" w:hAnsi="Times New Roman" w:cs="Times New Roman"/>
                <w:i/>
                <w:iCs/>
                <w:sz w:val="16"/>
                <w:szCs w:val="16"/>
              </w:rPr>
              <w:t>-</w:t>
            </w:r>
            <w:proofErr w:type="spellStart"/>
            <w:r w:rsidRPr="00CD30FA">
              <w:rPr>
                <w:rFonts w:ascii="Times New Roman" w:hAnsi="Times New Roman" w:cs="Times New Roman"/>
                <w:i/>
                <w:iCs/>
                <w:sz w:val="16"/>
                <w:szCs w:val="16"/>
              </w:rPr>
              <w:t>V.ffh</w:t>
            </w:r>
            <w:proofErr w:type="spellEnd"/>
          </w:p>
        </w:tc>
        <w:tc>
          <w:tcPr>
            <w:tcW w:w="1540" w:type="dxa"/>
            <w:tcBorders>
              <w:top w:val="nil"/>
              <w:left w:val="nil"/>
              <w:bottom w:val="single" w:sz="4" w:space="0" w:color="auto"/>
              <w:right w:val="nil"/>
            </w:tcBorders>
            <w:shd w:val="clear" w:color="auto" w:fill="auto"/>
            <w:noWrap/>
            <w:vAlign w:val="bottom"/>
            <w:hideMark/>
          </w:tcPr>
          <w:p w:rsidR="00EF2507" w:rsidRPr="00CD30FA" w:rsidRDefault="00EF2507"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t xml:space="preserve">　</w:t>
            </w:r>
          </w:p>
        </w:tc>
        <w:tc>
          <w:tcPr>
            <w:tcW w:w="3197" w:type="dxa"/>
            <w:tcBorders>
              <w:top w:val="nil"/>
              <w:left w:val="nil"/>
              <w:bottom w:val="single" w:sz="4" w:space="0" w:color="auto"/>
              <w:right w:val="nil"/>
            </w:tcBorders>
            <w:shd w:val="clear" w:color="auto" w:fill="auto"/>
            <w:noWrap/>
            <w:vAlign w:val="bottom"/>
            <w:hideMark/>
          </w:tcPr>
          <w:p w:rsidR="00EF2507" w:rsidRPr="00CD30FA" w:rsidRDefault="00EF2507"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t xml:space="preserve">　</w:t>
            </w:r>
          </w:p>
        </w:tc>
        <w:tc>
          <w:tcPr>
            <w:tcW w:w="1803" w:type="dxa"/>
            <w:tcBorders>
              <w:top w:val="nil"/>
              <w:left w:val="nil"/>
              <w:bottom w:val="single" w:sz="4" w:space="0" w:color="auto"/>
              <w:right w:val="nil"/>
            </w:tcBorders>
            <w:shd w:val="clear" w:color="auto" w:fill="auto"/>
            <w:noWrap/>
            <w:vAlign w:val="bottom"/>
            <w:hideMark/>
          </w:tcPr>
          <w:p w:rsidR="00EF2507" w:rsidRPr="00CD30FA" w:rsidRDefault="00EF2507" w:rsidP="00263BC9">
            <w:pPr>
              <w:spacing w:line="140" w:lineRule="exact"/>
              <w:rPr>
                <w:rFonts w:ascii="Times New Roman" w:hAnsi="Times New Roman" w:cs="Times New Roman"/>
                <w:sz w:val="16"/>
                <w:szCs w:val="16"/>
              </w:rPr>
            </w:pPr>
            <w:r w:rsidRPr="00CD30FA">
              <w:rPr>
                <w:rFonts w:ascii="Times New Roman" w:hAnsi="Times New Roman" w:cs="Times New Roman"/>
                <w:sz w:val="16"/>
                <w:szCs w:val="16"/>
              </w:rPr>
              <w:t>This study</w:t>
            </w:r>
          </w:p>
        </w:tc>
      </w:tr>
    </w:tbl>
    <w:p w:rsidR="00EF2507" w:rsidRDefault="00EF2507" w:rsidP="00351643">
      <w:pPr>
        <w:jc w:val="both"/>
        <w:rPr>
          <w:rFonts w:ascii="Times New Roman" w:hAnsi="Times New Roman" w:cs="Times New Roman"/>
          <w:b/>
        </w:rPr>
      </w:pPr>
    </w:p>
    <w:p w:rsidR="00B66649" w:rsidRPr="00B66649" w:rsidRDefault="00B66649" w:rsidP="00351643">
      <w:pPr>
        <w:jc w:val="both"/>
        <w:rPr>
          <w:rFonts w:ascii="Times New Roman" w:hAnsi="Times New Roman" w:cs="Times New Roman"/>
          <w:b/>
          <w:sz w:val="20"/>
          <w:szCs w:val="20"/>
        </w:rPr>
      </w:pPr>
      <w:r w:rsidRPr="00B66649">
        <w:rPr>
          <w:rFonts w:ascii="Times New Roman" w:hAnsi="Times New Roman" w:cs="Times New Roman" w:hint="eastAsia"/>
          <w:b/>
          <w:sz w:val="20"/>
          <w:szCs w:val="20"/>
        </w:rPr>
        <w:t>(</w:t>
      </w:r>
      <w:r w:rsidRPr="00B66649">
        <w:rPr>
          <w:rFonts w:ascii="Times New Roman" w:hAnsi="Times New Roman" w:cs="Times New Roman"/>
          <w:b/>
          <w:sz w:val="20"/>
          <w:szCs w:val="20"/>
        </w:rPr>
        <w:t>References)</w:t>
      </w:r>
    </w:p>
    <w:p w:rsidR="00394479" w:rsidRPr="00394479" w:rsidRDefault="00B66649" w:rsidP="00394479">
      <w:pPr>
        <w:autoSpaceDE w:val="0"/>
        <w:autoSpaceDN w:val="0"/>
        <w:adjustRightInd w:val="0"/>
        <w:spacing w:line="240" w:lineRule="exact"/>
        <w:ind w:left="480" w:hanging="480"/>
        <w:rPr>
          <w:rFonts w:ascii="Times New Roman" w:hAnsi="Times New Roman" w:cs="Times New Roman"/>
          <w:noProof/>
          <w:sz w:val="20"/>
        </w:rPr>
      </w:pPr>
      <w:r w:rsidRPr="00B66649">
        <w:rPr>
          <w:rFonts w:ascii="Times New Roman" w:hAnsi="Times New Roman" w:cs="Times New Roman"/>
          <w:b/>
          <w:sz w:val="20"/>
          <w:szCs w:val="20"/>
        </w:rPr>
        <w:fldChar w:fldCharType="begin" w:fldLock="1"/>
      </w:r>
      <w:r w:rsidRPr="00B66649">
        <w:rPr>
          <w:rFonts w:ascii="Times New Roman" w:hAnsi="Times New Roman" w:cs="Times New Roman"/>
          <w:b/>
          <w:sz w:val="20"/>
          <w:szCs w:val="20"/>
        </w:rPr>
        <w:instrText xml:space="preserve">ADDIN Mendeley Bibliography CSL_BIBLIOGRAPHY </w:instrText>
      </w:r>
      <w:r w:rsidRPr="00B66649">
        <w:rPr>
          <w:rFonts w:ascii="Times New Roman" w:hAnsi="Times New Roman" w:cs="Times New Roman"/>
          <w:b/>
          <w:sz w:val="20"/>
          <w:szCs w:val="20"/>
        </w:rPr>
        <w:fldChar w:fldCharType="separate"/>
      </w:r>
      <w:r w:rsidR="00394479" w:rsidRPr="00394479">
        <w:rPr>
          <w:rFonts w:ascii="Times New Roman" w:hAnsi="Times New Roman" w:cs="Times New Roman"/>
          <w:noProof/>
          <w:sz w:val="20"/>
        </w:rPr>
        <w:t xml:space="preserve">Akiyama Y, Ito K. 1985. The SecY membrane component of the bacterial protein export machinery: analysis by  new electrophoretic methods for integral membrane proteins. </w:t>
      </w:r>
      <w:r w:rsidR="00394479" w:rsidRPr="00394479">
        <w:rPr>
          <w:rFonts w:ascii="Times New Roman" w:hAnsi="Times New Roman" w:cs="Times New Roman"/>
          <w:i/>
          <w:iCs/>
          <w:noProof/>
          <w:sz w:val="20"/>
        </w:rPr>
        <w:t>EMBO J</w:t>
      </w:r>
      <w:r w:rsidR="00394479" w:rsidRPr="00394479">
        <w:rPr>
          <w:rFonts w:ascii="Times New Roman" w:hAnsi="Times New Roman" w:cs="Times New Roman"/>
          <w:noProof/>
          <w:sz w:val="20"/>
        </w:rPr>
        <w:t xml:space="preserve"> </w:t>
      </w:r>
      <w:r w:rsidR="00394479" w:rsidRPr="00394479">
        <w:rPr>
          <w:rFonts w:ascii="Times New Roman" w:hAnsi="Times New Roman" w:cs="Times New Roman"/>
          <w:b/>
          <w:bCs/>
          <w:noProof/>
          <w:sz w:val="20"/>
        </w:rPr>
        <w:t>4</w:t>
      </w:r>
      <w:r w:rsidR="00394479" w:rsidRPr="00394479">
        <w:rPr>
          <w:rFonts w:ascii="Times New Roman" w:hAnsi="Times New Roman" w:cs="Times New Roman"/>
          <w:noProof/>
          <w:sz w:val="20"/>
        </w:rPr>
        <w:t>:3351–3356.</w:t>
      </w:r>
    </w:p>
    <w:p w:rsidR="00394479" w:rsidRPr="00394479" w:rsidRDefault="00394479" w:rsidP="00394479">
      <w:pPr>
        <w:autoSpaceDE w:val="0"/>
        <w:autoSpaceDN w:val="0"/>
        <w:adjustRightInd w:val="0"/>
        <w:spacing w:line="240" w:lineRule="exact"/>
        <w:ind w:left="480" w:hanging="480"/>
        <w:rPr>
          <w:rFonts w:ascii="Times New Roman" w:hAnsi="Times New Roman" w:cs="Times New Roman"/>
          <w:noProof/>
          <w:sz w:val="20"/>
        </w:rPr>
      </w:pPr>
      <w:r w:rsidRPr="00394479">
        <w:rPr>
          <w:rFonts w:ascii="Times New Roman" w:hAnsi="Times New Roman" w:cs="Times New Roman"/>
          <w:noProof/>
          <w:sz w:val="20"/>
        </w:rPr>
        <w:t xml:space="preserve">Akiyama Y, Ogura T, Ito K. 1994. Involvement of FtsH in protein assembly into and through the membrane. I. Mutations  that reduce retention efficiency of a cytoplasmic reporter. </w:t>
      </w:r>
      <w:r w:rsidRPr="00394479">
        <w:rPr>
          <w:rFonts w:ascii="Times New Roman" w:hAnsi="Times New Roman" w:cs="Times New Roman"/>
          <w:i/>
          <w:iCs/>
          <w:noProof/>
          <w:sz w:val="20"/>
        </w:rPr>
        <w:t>J Biol Chem</w:t>
      </w:r>
      <w:r w:rsidRPr="00394479">
        <w:rPr>
          <w:rFonts w:ascii="Times New Roman" w:hAnsi="Times New Roman" w:cs="Times New Roman"/>
          <w:noProof/>
          <w:sz w:val="20"/>
        </w:rPr>
        <w:t xml:space="preserve"> </w:t>
      </w:r>
      <w:r w:rsidRPr="00394479">
        <w:rPr>
          <w:rFonts w:ascii="Times New Roman" w:hAnsi="Times New Roman" w:cs="Times New Roman"/>
          <w:b/>
          <w:bCs/>
          <w:noProof/>
          <w:sz w:val="20"/>
        </w:rPr>
        <w:t>269</w:t>
      </w:r>
      <w:r w:rsidRPr="00394479">
        <w:rPr>
          <w:rFonts w:ascii="Times New Roman" w:hAnsi="Times New Roman" w:cs="Times New Roman"/>
          <w:noProof/>
          <w:sz w:val="20"/>
        </w:rPr>
        <w:t>:5218–5224.</w:t>
      </w:r>
    </w:p>
    <w:p w:rsidR="00394479" w:rsidRPr="00394479" w:rsidRDefault="00394479" w:rsidP="00394479">
      <w:pPr>
        <w:autoSpaceDE w:val="0"/>
        <w:autoSpaceDN w:val="0"/>
        <w:adjustRightInd w:val="0"/>
        <w:spacing w:line="240" w:lineRule="exact"/>
        <w:ind w:left="480" w:hanging="480"/>
        <w:rPr>
          <w:rFonts w:ascii="Times New Roman" w:hAnsi="Times New Roman" w:cs="Times New Roman"/>
          <w:noProof/>
          <w:sz w:val="20"/>
        </w:rPr>
      </w:pPr>
      <w:r w:rsidRPr="00394479">
        <w:rPr>
          <w:rFonts w:ascii="Times New Roman" w:hAnsi="Times New Roman" w:cs="Times New Roman"/>
          <w:noProof/>
          <w:sz w:val="20"/>
        </w:rPr>
        <w:t xml:space="preserve">de Gier JW, Mansournia P, Valent QA, Phillips GJ, Luirink J, von Heijne G. 1996. Assembly of a cytoplasmic membrane protein in </w:t>
      </w:r>
      <w:r w:rsidRPr="00394479">
        <w:rPr>
          <w:rFonts w:ascii="Times New Roman" w:hAnsi="Times New Roman" w:cs="Times New Roman"/>
          <w:i/>
          <w:iCs/>
          <w:noProof/>
          <w:sz w:val="20"/>
        </w:rPr>
        <w:t>Escherichia coli</w:t>
      </w:r>
      <w:r w:rsidRPr="00394479">
        <w:rPr>
          <w:rFonts w:ascii="Times New Roman" w:hAnsi="Times New Roman" w:cs="Times New Roman"/>
          <w:noProof/>
          <w:sz w:val="20"/>
        </w:rPr>
        <w:t xml:space="preserve"> is dependent on the signal recognition particle. </w:t>
      </w:r>
      <w:r w:rsidRPr="00394479">
        <w:rPr>
          <w:rFonts w:ascii="Times New Roman" w:hAnsi="Times New Roman" w:cs="Times New Roman"/>
          <w:i/>
          <w:iCs/>
          <w:noProof/>
          <w:sz w:val="20"/>
        </w:rPr>
        <w:t>FEBS Lett</w:t>
      </w:r>
      <w:r w:rsidRPr="00394479">
        <w:rPr>
          <w:rFonts w:ascii="Times New Roman" w:hAnsi="Times New Roman" w:cs="Times New Roman"/>
          <w:noProof/>
          <w:sz w:val="20"/>
        </w:rPr>
        <w:t xml:space="preserve"> </w:t>
      </w:r>
      <w:r w:rsidRPr="00394479">
        <w:rPr>
          <w:rFonts w:ascii="Times New Roman" w:hAnsi="Times New Roman" w:cs="Times New Roman"/>
          <w:b/>
          <w:bCs/>
          <w:noProof/>
          <w:sz w:val="20"/>
        </w:rPr>
        <w:t>399</w:t>
      </w:r>
      <w:r w:rsidRPr="00394479">
        <w:rPr>
          <w:rFonts w:ascii="Times New Roman" w:hAnsi="Times New Roman" w:cs="Times New Roman"/>
          <w:noProof/>
          <w:sz w:val="20"/>
        </w:rPr>
        <w:t>:307–309. doi:10.1016/s0014-5793(96)01354-3</w:t>
      </w:r>
    </w:p>
    <w:p w:rsidR="00394479" w:rsidRPr="00394479" w:rsidRDefault="00394479" w:rsidP="00394479">
      <w:pPr>
        <w:autoSpaceDE w:val="0"/>
        <w:autoSpaceDN w:val="0"/>
        <w:adjustRightInd w:val="0"/>
        <w:spacing w:line="240" w:lineRule="exact"/>
        <w:ind w:left="480" w:hanging="480"/>
        <w:rPr>
          <w:rFonts w:ascii="Times New Roman" w:hAnsi="Times New Roman" w:cs="Times New Roman"/>
          <w:noProof/>
          <w:sz w:val="20"/>
        </w:rPr>
      </w:pPr>
      <w:r w:rsidRPr="00394479">
        <w:rPr>
          <w:rFonts w:ascii="Times New Roman" w:hAnsi="Times New Roman" w:cs="Times New Roman"/>
          <w:noProof/>
          <w:sz w:val="20"/>
        </w:rPr>
        <w:t xml:space="preserve">Ishii E, Chiba S, Hashimoto N, Kojima S, Homma M, Ito K, Akiyama Y, Mori H. 2015. Nascent chain-monitored remodeling of the Sec machinery for salinity adaptation of marine bacteria. </w:t>
      </w:r>
      <w:r w:rsidRPr="00394479">
        <w:rPr>
          <w:rFonts w:ascii="Times New Roman" w:hAnsi="Times New Roman" w:cs="Times New Roman"/>
          <w:i/>
          <w:iCs/>
          <w:noProof/>
          <w:sz w:val="20"/>
        </w:rPr>
        <w:t>Proc Natl Acad Sci U S A</w:t>
      </w:r>
      <w:r w:rsidRPr="00394479">
        <w:rPr>
          <w:rFonts w:ascii="Times New Roman" w:hAnsi="Times New Roman" w:cs="Times New Roman"/>
          <w:noProof/>
          <w:sz w:val="20"/>
        </w:rPr>
        <w:t xml:space="preserve"> </w:t>
      </w:r>
      <w:r w:rsidRPr="00394479">
        <w:rPr>
          <w:rFonts w:ascii="Times New Roman" w:hAnsi="Times New Roman" w:cs="Times New Roman"/>
          <w:b/>
          <w:bCs/>
          <w:noProof/>
          <w:sz w:val="20"/>
        </w:rPr>
        <w:t>112</w:t>
      </w:r>
      <w:r w:rsidRPr="00394479">
        <w:rPr>
          <w:rFonts w:ascii="Times New Roman" w:hAnsi="Times New Roman" w:cs="Times New Roman"/>
          <w:noProof/>
          <w:sz w:val="20"/>
        </w:rPr>
        <w:t>:E5513-22. doi:10.1073/pnas.1513001112</w:t>
      </w:r>
    </w:p>
    <w:p w:rsidR="00394479" w:rsidRPr="00394479" w:rsidRDefault="00394479" w:rsidP="00394479">
      <w:pPr>
        <w:autoSpaceDE w:val="0"/>
        <w:autoSpaceDN w:val="0"/>
        <w:adjustRightInd w:val="0"/>
        <w:spacing w:line="240" w:lineRule="exact"/>
        <w:ind w:left="480" w:hanging="480"/>
        <w:rPr>
          <w:rFonts w:ascii="Times New Roman" w:hAnsi="Times New Roman" w:cs="Times New Roman"/>
          <w:noProof/>
          <w:sz w:val="20"/>
        </w:rPr>
      </w:pPr>
      <w:r w:rsidRPr="00394479">
        <w:rPr>
          <w:rFonts w:ascii="Times New Roman" w:hAnsi="Times New Roman" w:cs="Times New Roman"/>
          <w:noProof/>
          <w:sz w:val="20"/>
        </w:rPr>
        <w:t xml:space="preserve">Mori H, Ito K. 2006. The long α-helix of SecA is important for the ATPase coupling of translocation. </w:t>
      </w:r>
      <w:r w:rsidRPr="00394479">
        <w:rPr>
          <w:rFonts w:ascii="Times New Roman" w:hAnsi="Times New Roman" w:cs="Times New Roman"/>
          <w:i/>
          <w:iCs/>
          <w:noProof/>
          <w:sz w:val="20"/>
        </w:rPr>
        <w:t>J Biol Chem</w:t>
      </w:r>
      <w:r w:rsidRPr="00394479">
        <w:rPr>
          <w:rFonts w:ascii="Times New Roman" w:hAnsi="Times New Roman" w:cs="Times New Roman"/>
          <w:noProof/>
          <w:sz w:val="20"/>
        </w:rPr>
        <w:t xml:space="preserve"> </w:t>
      </w:r>
      <w:r w:rsidRPr="00394479">
        <w:rPr>
          <w:rFonts w:ascii="Times New Roman" w:hAnsi="Times New Roman" w:cs="Times New Roman"/>
          <w:b/>
          <w:bCs/>
          <w:noProof/>
          <w:sz w:val="20"/>
        </w:rPr>
        <w:t>281</w:t>
      </w:r>
      <w:r w:rsidRPr="00394479">
        <w:rPr>
          <w:rFonts w:ascii="Times New Roman" w:hAnsi="Times New Roman" w:cs="Times New Roman"/>
          <w:noProof/>
          <w:sz w:val="20"/>
        </w:rPr>
        <w:t>:36249–36256. doi:10.1074/jbc.M606906200</w:t>
      </w:r>
    </w:p>
    <w:p w:rsidR="00394479" w:rsidRPr="00394479" w:rsidRDefault="00394479" w:rsidP="00394479">
      <w:pPr>
        <w:autoSpaceDE w:val="0"/>
        <w:autoSpaceDN w:val="0"/>
        <w:adjustRightInd w:val="0"/>
        <w:spacing w:line="240" w:lineRule="exact"/>
        <w:ind w:left="480" w:hanging="480"/>
        <w:rPr>
          <w:rFonts w:ascii="Times New Roman" w:hAnsi="Times New Roman" w:cs="Times New Roman"/>
          <w:noProof/>
          <w:sz w:val="20"/>
        </w:rPr>
      </w:pPr>
      <w:r w:rsidRPr="00394479">
        <w:rPr>
          <w:rFonts w:ascii="Times New Roman" w:hAnsi="Times New Roman" w:cs="Times New Roman"/>
          <w:noProof/>
          <w:sz w:val="20"/>
        </w:rPr>
        <w:t xml:space="preserve">Mori H, Sakashita S, Ito J, Ishii E, Akiyama Y. 2018. Identification and characterization of a translation arrest motif in VemP by systematic mutational analysis. </w:t>
      </w:r>
      <w:r w:rsidRPr="00394479">
        <w:rPr>
          <w:rFonts w:ascii="Times New Roman" w:hAnsi="Times New Roman" w:cs="Times New Roman"/>
          <w:i/>
          <w:iCs/>
          <w:noProof/>
          <w:sz w:val="20"/>
        </w:rPr>
        <w:t>J Biol Chem</w:t>
      </w:r>
      <w:r w:rsidRPr="00394479">
        <w:rPr>
          <w:rFonts w:ascii="Times New Roman" w:hAnsi="Times New Roman" w:cs="Times New Roman"/>
          <w:noProof/>
          <w:sz w:val="20"/>
        </w:rPr>
        <w:t xml:space="preserve"> </w:t>
      </w:r>
      <w:r w:rsidRPr="00394479">
        <w:rPr>
          <w:rFonts w:ascii="Times New Roman" w:hAnsi="Times New Roman" w:cs="Times New Roman"/>
          <w:b/>
          <w:bCs/>
          <w:noProof/>
          <w:sz w:val="20"/>
        </w:rPr>
        <w:t>293</w:t>
      </w:r>
      <w:r w:rsidRPr="00394479">
        <w:rPr>
          <w:rFonts w:ascii="Times New Roman" w:hAnsi="Times New Roman" w:cs="Times New Roman"/>
          <w:noProof/>
          <w:sz w:val="20"/>
        </w:rPr>
        <w:t>:2915–2926. doi:10.1074/jbc.M117.816561</w:t>
      </w:r>
    </w:p>
    <w:p w:rsidR="00394479" w:rsidRPr="00394479" w:rsidRDefault="00394479" w:rsidP="00394479">
      <w:pPr>
        <w:autoSpaceDE w:val="0"/>
        <w:autoSpaceDN w:val="0"/>
        <w:adjustRightInd w:val="0"/>
        <w:spacing w:line="240" w:lineRule="exact"/>
        <w:ind w:left="480" w:hanging="480"/>
        <w:rPr>
          <w:rFonts w:ascii="Times New Roman" w:hAnsi="Times New Roman" w:cs="Times New Roman"/>
          <w:noProof/>
          <w:sz w:val="20"/>
        </w:rPr>
      </w:pPr>
      <w:r w:rsidRPr="00394479">
        <w:rPr>
          <w:rFonts w:ascii="Times New Roman" w:hAnsi="Times New Roman" w:cs="Times New Roman"/>
          <w:noProof/>
          <w:sz w:val="20"/>
        </w:rPr>
        <w:t xml:space="preserve">Okunishi I, Kawagishi I, Homma M. 1996. Cloning and characterization of </w:t>
      </w:r>
      <w:r w:rsidRPr="00394479">
        <w:rPr>
          <w:rFonts w:ascii="Times New Roman" w:hAnsi="Times New Roman" w:cs="Times New Roman"/>
          <w:i/>
          <w:iCs/>
          <w:noProof/>
          <w:sz w:val="20"/>
        </w:rPr>
        <w:t>motY</w:t>
      </w:r>
      <w:r w:rsidRPr="00394479">
        <w:rPr>
          <w:rFonts w:ascii="Times New Roman" w:hAnsi="Times New Roman" w:cs="Times New Roman"/>
          <w:noProof/>
          <w:sz w:val="20"/>
        </w:rPr>
        <w:t xml:space="preserve">, a gene coding for a component of the sodium-driven flagellar motor in </w:t>
      </w:r>
      <w:r w:rsidRPr="00394479">
        <w:rPr>
          <w:rFonts w:ascii="Times New Roman" w:hAnsi="Times New Roman" w:cs="Times New Roman"/>
          <w:i/>
          <w:iCs/>
          <w:noProof/>
          <w:sz w:val="20"/>
        </w:rPr>
        <w:t>Vibrio alginolyticus</w:t>
      </w:r>
      <w:r w:rsidRPr="00394479">
        <w:rPr>
          <w:rFonts w:ascii="Times New Roman" w:hAnsi="Times New Roman" w:cs="Times New Roman"/>
          <w:noProof/>
          <w:sz w:val="20"/>
        </w:rPr>
        <w:t xml:space="preserve">. </w:t>
      </w:r>
      <w:r w:rsidRPr="00394479">
        <w:rPr>
          <w:rFonts w:ascii="Times New Roman" w:hAnsi="Times New Roman" w:cs="Times New Roman"/>
          <w:i/>
          <w:iCs/>
          <w:noProof/>
          <w:sz w:val="20"/>
        </w:rPr>
        <w:t>J Bacteriol</w:t>
      </w:r>
      <w:r w:rsidRPr="00394479">
        <w:rPr>
          <w:rFonts w:ascii="Times New Roman" w:hAnsi="Times New Roman" w:cs="Times New Roman"/>
          <w:noProof/>
          <w:sz w:val="20"/>
        </w:rPr>
        <w:t xml:space="preserve"> </w:t>
      </w:r>
      <w:r w:rsidRPr="00394479">
        <w:rPr>
          <w:rFonts w:ascii="Times New Roman" w:hAnsi="Times New Roman" w:cs="Times New Roman"/>
          <w:b/>
          <w:bCs/>
          <w:noProof/>
          <w:sz w:val="20"/>
        </w:rPr>
        <w:t>178</w:t>
      </w:r>
      <w:r w:rsidRPr="00394479">
        <w:rPr>
          <w:rFonts w:ascii="Times New Roman" w:hAnsi="Times New Roman" w:cs="Times New Roman"/>
          <w:noProof/>
          <w:sz w:val="20"/>
        </w:rPr>
        <w:t>:2409–2415. doi:10.1128/jb.178.8.2409-2415.1996</w:t>
      </w:r>
    </w:p>
    <w:p w:rsidR="00394479" w:rsidRPr="00394479" w:rsidRDefault="00394479" w:rsidP="00394479">
      <w:pPr>
        <w:autoSpaceDE w:val="0"/>
        <w:autoSpaceDN w:val="0"/>
        <w:adjustRightInd w:val="0"/>
        <w:spacing w:line="240" w:lineRule="exact"/>
        <w:ind w:left="480" w:hanging="480"/>
        <w:rPr>
          <w:rFonts w:ascii="Times New Roman" w:hAnsi="Times New Roman" w:cs="Times New Roman"/>
          <w:noProof/>
          <w:sz w:val="20"/>
        </w:rPr>
      </w:pPr>
      <w:r w:rsidRPr="00394479">
        <w:rPr>
          <w:rFonts w:ascii="Times New Roman" w:hAnsi="Times New Roman" w:cs="Times New Roman"/>
          <w:noProof/>
          <w:sz w:val="20"/>
        </w:rPr>
        <w:lastRenderedPageBreak/>
        <w:t xml:space="preserve">Oliver DB, Beckwith J. 1981. E. coli mutant pleiotropically defective in the export of secreted proteins. </w:t>
      </w:r>
      <w:r w:rsidRPr="00394479">
        <w:rPr>
          <w:rFonts w:ascii="Times New Roman" w:hAnsi="Times New Roman" w:cs="Times New Roman"/>
          <w:i/>
          <w:iCs/>
          <w:noProof/>
          <w:sz w:val="20"/>
        </w:rPr>
        <w:t>Cell</w:t>
      </w:r>
      <w:r w:rsidRPr="00394479">
        <w:rPr>
          <w:rFonts w:ascii="Times New Roman" w:hAnsi="Times New Roman" w:cs="Times New Roman"/>
          <w:noProof/>
          <w:sz w:val="20"/>
        </w:rPr>
        <w:t xml:space="preserve"> </w:t>
      </w:r>
      <w:r w:rsidRPr="00394479">
        <w:rPr>
          <w:rFonts w:ascii="Times New Roman" w:hAnsi="Times New Roman" w:cs="Times New Roman"/>
          <w:b/>
          <w:bCs/>
          <w:noProof/>
          <w:sz w:val="20"/>
        </w:rPr>
        <w:t>25</w:t>
      </w:r>
      <w:r w:rsidRPr="00394479">
        <w:rPr>
          <w:rFonts w:ascii="Times New Roman" w:hAnsi="Times New Roman" w:cs="Times New Roman"/>
          <w:noProof/>
          <w:sz w:val="20"/>
        </w:rPr>
        <w:t>:765–772. doi:10.1016/0092-8674(81)90184-7</w:t>
      </w:r>
    </w:p>
    <w:p w:rsidR="00394479" w:rsidRPr="00394479" w:rsidRDefault="00394479" w:rsidP="00394479">
      <w:pPr>
        <w:autoSpaceDE w:val="0"/>
        <w:autoSpaceDN w:val="0"/>
        <w:adjustRightInd w:val="0"/>
        <w:spacing w:line="240" w:lineRule="exact"/>
        <w:ind w:left="480" w:hanging="480"/>
        <w:rPr>
          <w:rFonts w:ascii="Times New Roman" w:hAnsi="Times New Roman" w:cs="Times New Roman"/>
          <w:noProof/>
          <w:sz w:val="20"/>
        </w:rPr>
      </w:pPr>
      <w:r w:rsidRPr="00394479">
        <w:rPr>
          <w:rFonts w:ascii="Times New Roman" w:hAnsi="Times New Roman" w:cs="Times New Roman"/>
          <w:noProof/>
          <w:sz w:val="20"/>
        </w:rPr>
        <w:t>Silhavy TJ, Berman ML, Enquist LW, editors. 1984. Experiments With Gene Fusions. New York: Cold Spring Harbor Laboratory Press.</w:t>
      </w:r>
    </w:p>
    <w:p w:rsidR="00394479" w:rsidRPr="00394479" w:rsidRDefault="00394479" w:rsidP="00394479">
      <w:pPr>
        <w:autoSpaceDE w:val="0"/>
        <w:autoSpaceDN w:val="0"/>
        <w:adjustRightInd w:val="0"/>
        <w:spacing w:line="240" w:lineRule="exact"/>
        <w:ind w:left="480" w:hanging="480"/>
        <w:rPr>
          <w:rFonts w:ascii="Times New Roman" w:hAnsi="Times New Roman" w:cs="Times New Roman"/>
          <w:noProof/>
          <w:sz w:val="20"/>
        </w:rPr>
      </w:pPr>
      <w:r w:rsidRPr="00394479">
        <w:rPr>
          <w:rFonts w:ascii="Times New Roman" w:hAnsi="Times New Roman" w:cs="Times New Roman"/>
          <w:noProof/>
          <w:sz w:val="20"/>
        </w:rPr>
        <w:t xml:space="preserve">Tsukazaki T, Mori H, Echizen Y, Ishitani R, Fukai S, Tanaka T, Perederina A, Vassylyev DG, Kohno T, Maturana AD, Ito K, Nureki O. 2011. Structure and function of a membrane component SecDF that enhances protein export. </w:t>
      </w:r>
      <w:r w:rsidRPr="00394479">
        <w:rPr>
          <w:rFonts w:ascii="Times New Roman" w:hAnsi="Times New Roman" w:cs="Times New Roman"/>
          <w:i/>
          <w:iCs/>
          <w:noProof/>
          <w:sz w:val="20"/>
        </w:rPr>
        <w:t>Nature</w:t>
      </w:r>
      <w:r w:rsidRPr="00394479">
        <w:rPr>
          <w:rFonts w:ascii="Times New Roman" w:hAnsi="Times New Roman" w:cs="Times New Roman"/>
          <w:noProof/>
          <w:sz w:val="20"/>
        </w:rPr>
        <w:t xml:space="preserve"> </w:t>
      </w:r>
      <w:r w:rsidRPr="00394479">
        <w:rPr>
          <w:rFonts w:ascii="Times New Roman" w:hAnsi="Times New Roman" w:cs="Times New Roman"/>
          <w:b/>
          <w:bCs/>
          <w:noProof/>
          <w:sz w:val="20"/>
        </w:rPr>
        <w:t>474</w:t>
      </w:r>
      <w:r w:rsidRPr="00394479">
        <w:rPr>
          <w:rFonts w:ascii="Times New Roman" w:hAnsi="Times New Roman" w:cs="Times New Roman"/>
          <w:noProof/>
          <w:sz w:val="20"/>
        </w:rPr>
        <w:t>:235–238. doi:10.1038/nature09980</w:t>
      </w:r>
    </w:p>
    <w:p w:rsidR="00394479" w:rsidRPr="00394479" w:rsidRDefault="00394479" w:rsidP="00394479">
      <w:pPr>
        <w:autoSpaceDE w:val="0"/>
        <w:autoSpaceDN w:val="0"/>
        <w:adjustRightInd w:val="0"/>
        <w:spacing w:line="240" w:lineRule="exact"/>
        <w:ind w:left="480" w:hanging="480"/>
        <w:rPr>
          <w:rFonts w:ascii="Times New Roman" w:hAnsi="Times New Roman" w:cs="Times New Roman"/>
          <w:noProof/>
          <w:sz w:val="20"/>
        </w:rPr>
      </w:pPr>
      <w:r w:rsidRPr="00394479">
        <w:rPr>
          <w:rFonts w:ascii="Times New Roman" w:hAnsi="Times New Roman" w:cs="Times New Roman"/>
          <w:noProof/>
          <w:sz w:val="20"/>
        </w:rPr>
        <w:t xml:space="preserve">Yu D, Ellis HM, Lee EC, Jenkins NA, Copeland NG, Court DL. 2000. An efficient recombination system for chromosome engineering in </w:t>
      </w:r>
      <w:r w:rsidRPr="00394479">
        <w:rPr>
          <w:rFonts w:ascii="Times New Roman" w:hAnsi="Times New Roman" w:cs="Times New Roman"/>
          <w:i/>
          <w:iCs/>
          <w:noProof/>
          <w:sz w:val="20"/>
        </w:rPr>
        <w:t>Escherichia coli.</w:t>
      </w:r>
      <w:r w:rsidRPr="00394479">
        <w:rPr>
          <w:rFonts w:ascii="Times New Roman" w:hAnsi="Times New Roman" w:cs="Times New Roman"/>
          <w:noProof/>
          <w:sz w:val="20"/>
        </w:rPr>
        <w:t xml:space="preserve"> </w:t>
      </w:r>
      <w:r w:rsidRPr="00394479">
        <w:rPr>
          <w:rFonts w:ascii="Times New Roman" w:hAnsi="Times New Roman" w:cs="Times New Roman"/>
          <w:i/>
          <w:iCs/>
          <w:noProof/>
          <w:sz w:val="20"/>
        </w:rPr>
        <w:t>Proc Natl Acad Sci U S A</w:t>
      </w:r>
      <w:r w:rsidRPr="00394479">
        <w:rPr>
          <w:rFonts w:ascii="Times New Roman" w:hAnsi="Times New Roman" w:cs="Times New Roman"/>
          <w:noProof/>
          <w:sz w:val="20"/>
        </w:rPr>
        <w:t xml:space="preserve"> </w:t>
      </w:r>
      <w:r w:rsidRPr="00394479">
        <w:rPr>
          <w:rFonts w:ascii="Times New Roman" w:hAnsi="Times New Roman" w:cs="Times New Roman"/>
          <w:b/>
          <w:bCs/>
          <w:noProof/>
          <w:sz w:val="20"/>
        </w:rPr>
        <w:t>97</w:t>
      </w:r>
      <w:r w:rsidRPr="00394479">
        <w:rPr>
          <w:rFonts w:ascii="Times New Roman" w:hAnsi="Times New Roman" w:cs="Times New Roman"/>
          <w:noProof/>
          <w:sz w:val="20"/>
        </w:rPr>
        <w:t>:5978–5983. doi:10.1073/pnas.100127597</w:t>
      </w:r>
    </w:p>
    <w:p w:rsidR="007C1A06" w:rsidRDefault="00B66649" w:rsidP="00394479">
      <w:pPr>
        <w:autoSpaceDE w:val="0"/>
        <w:autoSpaceDN w:val="0"/>
        <w:adjustRightInd w:val="0"/>
        <w:spacing w:line="240" w:lineRule="exact"/>
        <w:ind w:left="480" w:hanging="480"/>
        <w:rPr>
          <w:rFonts w:ascii="Times New Roman" w:hAnsi="Times New Roman" w:cs="Times New Roman"/>
          <w:b/>
        </w:rPr>
      </w:pPr>
      <w:r w:rsidRPr="00B66649">
        <w:rPr>
          <w:rFonts w:ascii="Times New Roman" w:hAnsi="Times New Roman" w:cs="Times New Roman"/>
          <w:b/>
          <w:sz w:val="20"/>
          <w:szCs w:val="20"/>
        </w:rPr>
        <w:fldChar w:fldCharType="end"/>
      </w:r>
    </w:p>
    <w:p w:rsidR="00EF2507" w:rsidRDefault="00EF2507">
      <w:pPr>
        <w:rPr>
          <w:rFonts w:ascii="Times New Roman" w:hAnsi="Times New Roman" w:cs="Times New Roman"/>
          <w:b/>
        </w:rPr>
      </w:pPr>
    </w:p>
    <w:sectPr w:rsidR="00EF2507" w:rsidSect="00EF2507">
      <w:footerReference w:type="even" r:id="rId8"/>
      <w:footerReference w:type="default" r:id="rId9"/>
      <w:pgSz w:w="11900" w:h="16840"/>
      <w:pgMar w:top="1701" w:right="1418" w:bottom="1418" w:left="1418" w:header="851" w:footer="992" w:gutter="0"/>
      <w:cols w:space="425"/>
      <w:docGrid w:type="lines"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3807" w:rsidRDefault="00883807">
      <w:r>
        <w:separator/>
      </w:r>
    </w:p>
  </w:endnote>
  <w:endnote w:type="continuationSeparator" w:id="0">
    <w:p w:rsidR="00883807" w:rsidRDefault="00883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7" w:csb1="00000000"/>
  </w:font>
  <w:font w:name="游ゴシック Light">
    <w:panose1 w:val="020B0300000000000000"/>
    <w:charset w:val="80"/>
    <w:family w:val="swiss"/>
    <w:pitch w:val="variable"/>
    <w:sig w:usb0="E00002FF" w:usb1="2AC7FDFF" w:usb2="00000016" w:usb3="00000000" w:csb0="0002009F" w:csb1="00000000"/>
  </w:font>
  <w:font w:name="ヒラギノ角ゴ ProN W3">
    <w:altName w:val="游ゴシック"/>
    <w:panose1 w:val="020B0300000000000000"/>
    <w:charset w:val="80"/>
    <w:family w:val="swiss"/>
    <w:pitch w:val="variable"/>
    <w:sig w:usb0="E00002FF" w:usb1="7AC7FFFF" w:usb2="00000012" w:usb3="00000000" w:csb0="0002000D"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Courier">
    <w:panose1 w:val="02000500000000000000"/>
    <w:charset w:val="00"/>
    <w:family w:val="auto"/>
    <w:pitch w:val="variable"/>
    <w:sig w:usb0="00000003" w:usb1="00000000" w:usb2="00000000" w:usb3="00000000" w:csb0="00000003" w:csb1="00000000"/>
  </w:font>
  <w:font w:name="ヒラギノ角ゴ Pro W3">
    <w:altName w:val="ヒラギノ角ゴ Pro W3"/>
    <w:panose1 w:val="020B0300000000000000"/>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A06" w:rsidRDefault="007C1A06" w:rsidP="00EF2507">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end"/>
    </w:r>
  </w:p>
  <w:p w:rsidR="007C1A06" w:rsidRDefault="007C1A06">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A06" w:rsidRDefault="007C1A06" w:rsidP="00EF2507">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9</w:t>
    </w:r>
    <w:r>
      <w:rPr>
        <w:rStyle w:val="ac"/>
      </w:rPr>
      <w:fldChar w:fldCharType="end"/>
    </w:r>
  </w:p>
  <w:p w:rsidR="007C1A06" w:rsidRDefault="007C1A0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3807" w:rsidRDefault="00883807">
      <w:r>
        <w:separator/>
      </w:r>
    </w:p>
  </w:footnote>
  <w:footnote w:type="continuationSeparator" w:id="0">
    <w:p w:rsidR="00883807" w:rsidRDefault="008838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518AAB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54CCA02C">
      <w:numFmt w:val="bullet"/>
      <w:lvlText w:val="."/>
      <w:lvlJc w:val="left"/>
      <w:pPr>
        <w:ind w:left="720" w:hanging="360"/>
      </w:pPr>
    </w:lvl>
    <w:lvl w:ilvl="1" w:tplc="40567F00">
      <w:numFmt w:val="decimal"/>
      <w:lvlText w:val=""/>
      <w:lvlJc w:val="left"/>
    </w:lvl>
    <w:lvl w:ilvl="2" w:tplc="AE6859D4">
      <w:numFmt w:val="decimal"/>
      <w:lvlText w:val=""/>
      <w:lvlJc w:val="left"/>
    </w:lvl>
    <w:lvl w:ilvl="3" w:tplc="92985ACC">
      <w:numFmt w:val="decimal"/>
      <w:lvlText w:val=""/>
      <w:lvlJc w:val="left"/>
    </w:lvl>
    <w:lvl w:ilvl="4" w:tplc="96467C10">
      <w:numFmt w:val="decimal"/>
      <w:lvlText w:val=""/>
      <w:lvlJc w:val="left"/>
    </w:lvl>
    <w:lvl w:ilvl="5" w:tplc="F7622D14">
      <w:numFmt w:val="decimal"/>
      <w:lvlText w:val=""/>
      <w:lvlJc w:val="left"/>
    </w:lvl>
    <w:lvl w:ilvl="6" w:tplc="A1FA88E6">
      <w:numFmt w:val="decimal"/>
      <w:lvlText w:val=""/>
      <w:lvlJc w:val="left"/>
    </w:lvl>
    <w:lvl w:ilvl="7" w:tplc="870A0E62">
      <w:numFmt w:val="decimal"/>
      <w:lvlText w:val=""/>
      <w:lvlJc w:val="left"/>
    </w:lvl>
    <w:lvl w:ilvl="8" w:tplc="21C27C60">
      <w:numFmt w:val="decimal"/>
      <w:lvlText w:val=""/>
      <w:lvlJc w:val="left"/>
    </w:lvl>
  </w:abstractNum>
  <w:abstractNum w:abstractNumId="2" w15:restartNumberingAfterBreak="0">
    <w:nsid w:val="1B3D1948"/>
    <w:multiLevelType w:val="hybridMultilevel"/>
    <w:tmpl w:val="8AD478F6"/>
    <w:lvl w:ilvl="0" w:tplc="AA3680A0">
      <w:start w:val="5"/>
      <w:numFmt w:val="bullet"/>
      <w:suff w:val="space"/>
      <w:lvlText w:val="・"/>
      <w:lvlJc w:val="left"/>
      <w:pPr>
        <w:ind w:left="0" w:firstLine="0"/>
      </w:pPr>
      <w:rPr>
        <w:rFonts w:ascii="ＭＳ Ｐ明朝" w:eastAsia="ＭＳ Ｐ明朝" w:hAnsi="ＭＳ Ｐ明朝" w:cs="Times New Roman" w:hint="eastAsia"/>
      </w:rPr>
    </w:lvl>
    <w:lvl w:ilvl="1" w:tplc="DBBAFECC" w:tentative="1">
      <w:start w:val="1"/>
      <w:numFmt w:val="bullet"/>
      <w:lvlText w:val=""/>
      <w:lvlJc w:val="left"/>
      <w:pPr>
        <w:ind w:left="960" w:hanging="480"/>
      </w:pPr>
      <w:rPr>
        <w:rFonts w:ascii="Wingdings" w:hAnsi="Wingdings" w:hint="default"/>
      </w:rPr>
    </w:lvl>
    <w:lvl w:ilvl="2" w:tplc="A72269E6" w:tentative="1">
      <w:start w:val="1"/>
      <w:numFmt w:val="bullet"/>
      <w:lvlText w:val=""/>
      <w:lvlJc w:val="left"/>
      <w:pPr>
        <w:ind w:left="1440" w:hanging="480"/>
      </w:pPr>
      <w:rPr>
        <w:rFonts w:ascii="Wingdings" w:hAnsi="Wingdings" w:hint="default"/>
      </w:rPr>
    </w:lvl>
    <w:lvl w:ilvl="3" w:tplc="1BA2833A" w:tentative="1">
      <w:start w:val="1"/>
      <w:numFmt w:val="bullet"/>
      <w:lvlText w:val=""/>
      <w:lvlJc w:val="left"/>
      <w:pPr>
        <w:ind w:left="1920" w:hanging="480"/>
      </w:pPr>
      <w:rPr>
        <w:rFonts w:ascii="Wingdings" w:hAnsi="Wingdings" w:hint="default"/>
      </w:rPr>
    </w:lvl>
    <w:lvl w:ilvl="4" w:tplc="EF1A5A5E" w:tentative="1">
      <w:start w:val="1"/>
      <w:numFmt w:val="bullet"/>
      <w:lvlText w:val=""/>
      <w:lvlJc w:val="left"/>
      <w:pPr>
        <w:ind w:left="2400" w:hanging="480"/>
      </w:pPr>
      <w:rPr>
        <w:rFonts w:ascii="Wingdings" w:hAnsi="Wingdings" w:hint="default"/>
      </w:rPr>
    </w:lvl>
    <w:lvl w:ilvl="5" w:tplc="61FC55F6" w:tentative="1">
      <w:start w:val="1"/>
      <w:numFmt w:val="bullet"/>
      <w:lvlText w:val=""/>
      <w:lvlJc w:val="left"/>
      <w:pPr>
        <w:ind w:left="2880" w:hanging="480"/>
      </w:pPr>
      <w:rPr>
        <w:rFonts w:ascii="Wingdings" w:hAnsi="Wingdings" w:hint="default"/>
      </w:rPr>
    </w:lvl>
    <w:lvl w:ilvl="6" w:tplc="35D82098" w:tentative="1">
      <w:start w:val="1"/>
      <w:numFmt w:val="bullet"/>
      <w:lvlText w:val=""/>
      <w:lvlJc w:val="left"/>
      <w:pPr>
        <w:ind w:left="3360" w:hanging="480"/>
      </w:pPr>
      <w:rPr>
        <w:rFonts w:ascii="Wingdings" w:hAnsi="Wingdings" w:hint="default"/>
      </w:rPr>
    </w:lvl>
    <w:lvl w:ilvl="7" w:tplc="C73A96D4" w:tentative="1">
      <w:start w:val="1"/>
      <w:numFmt w:val="bullet"/>
      <w:lvlText w:val=""/>
      <w:lvlJc w:val="left"/>
      <w:pPr>
        <w:ind w:left="3840" w:hanging="480"/>
      </w:pPr>
      <w:rPr>
        <w:rFonts w:ascii="Wingdings" w:hAnsi="Wingdings" w:hint="default"/>
      </w:rPr>
    </w:lvl>
    <w:lvl w:ilvl="8" w:tplc="A7E20904" w:tentative="1">
      <w:start w:val="1"/>
      <w:numFmt w:val="bullet"/>
      <w:lvlText w:val=""/>
      <w:lvlJc w:val="left"/>
      <w:pPr>
        <w:ind w:left="4320" w:hanging="480"/>
      </w:pPr>
      <w:rPr>
        <w:rFonts w:ascii="Wingdings" w:hAnsi="Wingdings" w:hint="default"/>
      </w:rPr>
    </w:lvl>
  </w:abstractNum>
  <w:abstractNum w:abstractNumId="3" w15:restartNumberingAfterBreak="0">
    <w:nsid w:val="26EE3033"/>
    <w:multiLevelType w:val="hybridMultilevel"/>
    <w:tmpl w:val="9AB81036"/>
    <w:lvl w:ilvl="0" w:tplc="387AF136">
      <w:start w:val="1"/>
      <w:numFmt w:val="bullet"/>
      <w:suff w:val="space"/>
      <w:lvlText w:val="・"/>
      <w:lvlJc w:val="left"/>
      <w:pPr>
        <w:ind w:left="0" w:firstLine="0"/>
      </w:pPr>
      <w:rPr>
        <w:rFonts w:ascii="ＭＳ Ｐ明朝" w:eastAsia="ＭＳ Ｐ明朝" w:hAnsi="ＭＳ Ｐ明朝" w:cs="Times New Roman" w:hint="eastAsia"/>
      </w:rPr>
    </w:lvl>
    <w:lvl w:ilvl="1" w:tplc="6A5E3364" w:tentative="1">
      <w:start w:val="1"/>
      <w:numFmt w:val="bullet"/>
      <w:lvlText w:val=""/>
      <w:lvlJc w:val="left"/>
      <w:pPr>
        <w:ind w:left="960" w:hanging="480"/>
      </w:pPr>
      <w:rPr>
        <w:rFonts w:ascii="Wingdings" w:hAnsi="Wingdings" w:hint="default"/>
      </w:rPr>
    </w:lvl>
    <w:lvl w:ilvl="2" w:tplc="033C5B90" w:tentative="1">
      <w:start w:val="1"/>
      <w:numFmt w:val="bullet"/>
      <w:lvlText w:val=""/>
      <w:lvlJc w:val="left"/>
      <w:pPr>
        <w:ind w:left="1440" w:hanging="480"/>
      </w:pPr>
      <w:rPr>
        <w:rFonts w:ascii="Wingdings" w:hAnsi="Wingdings" w:hint="default"/>
      </w:rPr>
    </w:lvl>
    <w:lvl w:ilvl="3" w:tplc="F6F6C9B2" w:tentative="1">
      <w:start w:val="1"/>
      <w:numFmt w:val="bullet"/>
      <w:lvlText w:val=""/>
      <w:lvlJc w:val="left"/>
      <w:pPr>
        <w:ind w:left="1920" w:hanging="480"/>
      </w:pPr>
      <w:rPr>
        <w:rFonts w:ascii="Wingdings" w:hAnsi="Wingdings" w:hint="default"/>
      </w:rPr>
    </w:lvl>
    <w:lvl w:ilvl="4" w:tplc="4E16FB4A" w:tentative="1">
      <w:start w:val="1"/>
      <w:numFmt w:val="bullet"/>
      <w:lvlText w:val=""/>
      <w:lvlJc w:val="left"/>
      <w:pPr>
        <w:ind w:left="2400" w:hanging="480"/>
      </w:pPr>
      <w:rPr>
        <w:rFonts w:ascii="Wingdings" w:hAnsi="Wingdings" w:hint="default"/>
      </w:rPr>
    </w:lvl>
    <w:lvl w:ilvl="5" w:tplc="12605C30" w:tentative="1">
      <w:start w:val="1"/>
      <w:numFmt w:val="bullet"/>
      <w:lvlText w:val=""/>
      <w:lvlJc w:val="left"/>
      <w:pPr>
        <w:ind w:left="2880" w:hanging="480"/>
      </w:pPr>
      <w:rPr>
        <w:rFonts w:ascii="Wingdings" w:hAnsi="Wingdings" w:hint="default"/>
      </w:rPr>
    </w:lvl>
    <w:lvl w:ilvl="6" w:tplc="2D021FD6" w:tentative="1">
      <w:start w:val="1"/>
      <w:numFmt w:val="bullet"/>
      <w:lvlText w:val=""/>
      <w:lvlJc w:val="left"/>
      <w:pPr>
        <w:ind w:left="3360" w:hanging="480"/>
      </w:pPr>
      <w:rPr>
        <w:rFonts w:ascii="Wingdings" w:hAnsi="Wingdings" w:hint="default"/>
      </w:rPr>
    </w:lvl>
    <w:lvl w:ilvl="7" w:tplc="A66E35FE" w:tentative="1">
      <w:start w:val="1"/>
      <w:numFmt w:val="bullet"/>
      <w:lvlText w:val=""/>
      <w:lvlJc w:val="left"/>
      <w:pPr>
        <w:ind w:left="3840" w:hanging="480"/>
      </w:pPr>
      <w:rPr>
        <w:rFonts w:ascii="Wingdings" w:hAnsi="Wingdings" w:hint="default"/>
      </w:rPr>
    </w:lvl>
    <w:lvl w:ilvl="8" w:tplc="D6C86232" w:tentative="1">
      <w:start w:val="1"/>
      <w:numFmt w:val="bullet"/>
      <w:lvlText w:val=""/>
      <w:lvlJc w:val="left"/>
      <w:pPr>
        <w:ind w:left="4320" w:hanging="48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1"/>
  <w:bordersDoNotSurroundHeader/>
  <w:bordersDoNotSurroundFooter/>
  <w:proofState w:spelling="clean" w:grammar="clean"/>
  <w:trackRevisions/>
  <w:defaultTabStop w:val="960"/>
  <w:drawingGridHorizontalSpacing w:val="217"/>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643"/>
    <w:rsid w:val="0000089A"/>
    <w:rsid w:val="0000200A"/>
    <w:rsid w:val="000036D8"/>
    <w:rsid w:val="00004FA9"/>
    <w:rsid w:val="00011F53"/>
    <w:rsid w:val="000134D5"/>
    <w:rsid w:val="00015F82"/>
    <w:rsid w:val="00026B1D"/>
    <w:rsid w:val="00027B81"/>
    <w:rsid w:val="000306ED"/>
    <w:rsid w:val="00031C20"/>
    <w:rsid w:val="000324B7"/>
    <w:rsid w:val="0003426F"/>
    <w:rsid w:val="000401B9"/>
    <w:rsid w:val="0004187F"/>
    <w:rsid w:val="00042DB2"/>
    <w:rsid w:val="00044EBF"/>
    <w:rsid w:val="00046927"/>
    <w:rsid w:val="000503C5"/>
    <w:rsid w:val="00051D09"/>
    <w:rsid w:val="00053C17"/>
    <w:rsid w:val="00055B0E"/>
    <w:rsid w:val="0005779E"/>
    <w:rsid w:val="00060219"/>
    <w:rsid w:val="00062BF8"/>
    <w:rsid w:val="00080695"/>
    <w:rsid w:val="0008547D"/>
    <w:rsid w:val="00093B77"/>
    <w:rsid w:val="0009736D"/>
    <w:rsid w:val="000A03B5"/>
    <w:rsid w:val="000B0F19"/>
    <w:rsid w:val="000B5707"/>
    <w:rsid w:val="000C152F"/>
    <w:rsid w:val="000C42DE"/>
    <w:rsid w:val="000C6F4D"/>
    <w:rsid w:val="000D3EC2"/>
    <w:rsid w:val="000E239B"/>
    <w:rsid w:val="000F0AEB"/>
    <w:rsid w:val="000F4D42"/>
    <w:rsid w:val="001061D2"/>
    <w:rsid w:val="0011080A"/>
    <w:rsid w:val="00111010"/>
    <w:rsid w:val="0011264B"/>
    <w:rsid w:val="00112A05"/>
    <w:rsid w:val="0011346A"/>
    <w:rsid w:val="0012072B"/>
    <w:rsid w:val="00121BA8"/>
    <w:rsid w:val="00127577"/>
    <w:rsid w:val="00142820"/>
    <w:rsid w:val="00147429"/>
    <w:rsid w:val="001507B9"/>
    <w:rsid w:val="00151BEA"/>
    <w:rsid w:val="0015282B"/>
    <w:rsid w:val="00155D71"/>
    <w:rsid w:val="00160673"/>
    <w:rsid w:val="00163EE7"/>
    <w:rsid w:val="00164912"/>
    <w:rsid w:val="00166D46"/>
    <w:rsid w:val="00172B11"/>
    <w:rsid w:val="00177C11"/>
    <w:rsid w:val="00181789"/>
    <w:rsid w:val="00181964"/>
    <w:rsid w:val="0018315E"/>
    <w:rsid w:val="0018346A"/>
    <w:rsid w:val="00187F94"/>
    <w:rsid w:val="00191737"/>
    <w:rsid w:val="00195931"/>
    <w:rsid w:val="001A1BF8"/>
    <w:rsid w:val="001B04F8"/>
    <w:rsid w:val="001B16A6"/>
    <w:rsid w:val="001C068E"/>
    <w:rsid w:val="001C1C92"/>
    <w:rsid w:val="001C5D5F"/>
    <w:rsid w:val="001D7EEF"/>
    <w:rsid w:val="001E3EFB"/>
    <w:rsid w:val="001E7AB3"/>
    <w:rsid w:val="001F11A6"/>
    <w:rsid w:val="00205860"/>
    <w:rsid w:val="00207396"/>
    <w:rsid w:val="0021065A"/>
    <w:rsid w:val="002116BB"/>
    <w:rsid w:val="0021262F"/>
    <w:rsid w:val="00220D8A"/>
    <w:rsid w:val="0022153E"/>
    <w:rsid w:val="00232033"/>
    <w:rsid w:val="002350B2"/>
    <w:rsid w:val="00237722"/>
    <w:rsid w:val="002420F6"/>
    <w:rsid w:val="00242835"/>
    <w:rsid w:val="00247CA1"/>
    <w:rsid w:val="00263BC9"/>
    <w:rsid w:val="00283246"/>
    <w:rsid w:val="00290C45"/>
    <w:rsid w:val="002952E5"/>
    <w:rsid w:val="002A3926"/>
    <w:rsid w:val="002A6990"/>
    <w:rsid w:val="002A76AD"/>
    <w:rsid w:val="002B3CEC"/>
    <w:rsid w:val="002C608F"/>
    <w:rsid w:val="002D4F70"/>
    <w:rsid w:val="002D595D"/>
    <w:rsid w:val="002D6A05"/>
    <w:rsid w:val="002E7D85"/>
    <w:rsid w:val="002F2014"/>
    <w:rsid w:val="0030692A"/>
    <w:rsid w:val="00315F09"/>
    <w:rsid w:val="00317821"/>
    <w:rsid w:val="003247DE"/>
    <w:rsid w:val="003270EC"/>
    <w:rsid w:val="00330FD1"/>
    <w:rsid w:val="00331422"/>
    <w:rsid w:val="00340563"/>
    <w:rsid w:val="00341532"/>
    <w:rsid w:val="00342CCE"/>
    <w:rsid w:val="003455D9"/>
    <w:rsid w:val="0034649E"/>
    <w:rsid w:val="00351643"/>
    <w:rsid w:val="003518AB"/>
    <w:rsid w:val="00352732"/>
    <w:rsid w:val="003847A1"/>
    <w:rsid w:val="00390F53"/>
    <w:rsid w:val="003913EC"/>
    <w:rsid w:val="003921CB"/>
    <w:rsid w:val="00394479"/>
    <w:rsid w:val="0039450C"/>
    <w:rsid w:val="003A01CD"/>
    <w:rsid w:val="003B5DE0"/>
    <w:rsid w:val="003C7A52"/>
    <w:rsid w:val="003D103C"/>
    <w:rsid w:val="003E1BD8"/>
    <w:rsid w:val="003F3E2D"/>
    <w:rsid w:val="00401088"/>
    <w:rsid w:val="00401D8A"/>
    <w:rsid w:val="00402577"/>
    <w:rsid w:val="00413D6C"/>
    <w:rsid w:val="004157A2"/>
    <w:rsid w:val="00420510"/>
    <w:rsid w:val="00432C56"/>
    <w:rsid w:val="00432E8F"/>
    <w:rsid w:val="004419B8"/>
    <w:rsid w:val="00462D5D"/>
    <w:rsid w:val="0046395C"/>
    <w:rsid w:val="00465FB3"/>
    <w:rsid w:val="00472CA4"/>
    <w:rsid w:val="004812C9"/>
    <w:rsid w:val="00485840"/>
    <w:rsid w:val="004877A5"/>
    <w:rsid w:val="00490EC5"/>
    <w:rsid w:val="0049481D"/>
    <w:rsid w:val="004A654E"/>
    <w:rsid w:val="004A77ED"/>
    <w:rsid w:val="004B144E"/>
    <w:rsid w:val="004C0F32"/>
    <w:rsid w:val="004C1830"/>
    <w:rsid w:val="004C32E1"/>
    <w:rsid w:val="004C4130"/>
    <w:rsid w:val="004C5852"/>
    <w:rsid w:val="004D405E"/>
    <w:rsid w:val="004E054D"/>
    <w:rsid w:val="004F04D0"/>
    <w:rsid w:val="004F221A"/>
    <w:rsid w:val="004F234C"/>
    <w:rsid w:val="004F365D"/>
    <w:rsid w:val="004F6163"/>
    <w:rsid w:val="005000EB"/>
    <w:rsid w:val="00504CA5"/>
    <w:rsid w:val="005068D5"/>
    <w:rsid w:val="0050763A"/>
    <w:rsid w:val="00513B61"/>
    <w:rsid w:val="0051690D"/>
    <w:rsid w:val="00516E0C"/>
    <w:rsid w:val="00521A49"/>
    <w:rsid w:val="00524C78"/>
    <w:rsid w:val="00526DCC"/>
    <w:rsid w:val="00534BCB"/>
    <w:rsid w:val="00550F53"/>
    <w:rsid w:val="00554B6D"/>
    <w:rsid w:val="00554D8A"/>
    <w:rsid w:val="00562CB2"/>
    <w:rsid w:val="00563CB2"/>
    <w:rsid w:val="00564166"/>
    <w:rsid w:val="005644E3"/>
    <w:rsid w:val="00565B9F"/>
    <w:rsid w:val="005715A3"/>
    <w:rsid w:val="00575425"/>
    <w:rsid w:val="005834AF"/>
    <w:rsid w:val="005848E7"/>
    <w:rsid w:val="0058633A"/>
    <w:rsid w:val="00592206"/>
    <w:rsid w:val="005A366E"/>
    <w:rsid w:val="005A59FF"/>
    <w:rsid w:val="005A6187"/>
    <w:rsid w:val="005B0B4A"/>
    <w:rsid w:val="005B0C5A"/>
    <w:rsid w:val="005B3E91"/>
    <w:rsid w:val="005B5F52"/>
    <w:rsid w:val="005C704C"/>
    <w:rsid w:val="005E3971"/>
    <w:rsid w:val="005F7FA7"/>
    <w:rsid w:val="00606636"/>
    <w:rsid w:val="006157FD"/>
    <w:rsid w:val="006159DA"/>
    <w:rsid w:val="006175FD"/>
    <w:rsid w:val="00622819"/>
    <w:rsid w:val="006250EC"/>
    <w:rsid w:val="00627E6B"/>
    <w:rsid w:val="00642E13"/>
    <w:rsid w:val="006532CA"/>
    <w:rsid w:val="00660A1B"/>
    <w:rsid w:val="00660D07"/>
    <w:rsid w:val="00673079"/>
    <w:rsid w:val="00675123"/>
    <w:rsid w:val="00687A78"/>
    <w:rsid w:val="006A209E"/>
    <w:rsid w:val="006A6745"/>
    <w:rsid w:val="006A703A"/>
    <w:rsid w:val="006C1CF9"/>
    <w:rsid w:val="006C264B"/>
    <w:rsid w:val="006C6099"/>
    <w:rsid w:val="006C628A"/>
    <w:rsid w:val="006C74D7"/>
    <w:rsid w:val="006D0851"/>
    <w:rsid w:val="006D137B"/>
    <w:rsid w:val="006D3813"/>
    <w:rsid w:val="006D78AA"/>
    <w:rsid w:val="006E338D"/>
    <w:rsid w:val="006E7EF2"/>
    <w:rsid w:val="006F0C97"/>
    <w:rsid w:val="006F1AAD"/>
    <w:rsid w:val="006F6F1F"/>
    <w:rsid w:val="007003B4"/>
    <w:rsid w:val="007007B7"/>
    <w:rsid w:val="00701684"/>
    <w:rsid w:val="00703C9B"/>
    <w:rsid w:val="00706673"/>
    <w:rsid w:val="007179BA"/>
    <w:rsid w:val="00726866"/>
    <w:rsid w:val="00731CED"/>
    <w:rsid w:val="0073246E"/>
    <w:rsid w:val="00733F46"/>
    <w:rsid w:val="00742745"/>
    <w:rsid w:val="00742896"/>
    <w:rsid w:val="00750E64"/>
    <w:rsid w:val="007514EE"/>
    <w:rsid w:val="007520B2"/>
    <w:rsid w:val="00757B0D"/>
    <w:rsid w:val="00767FE1"/>
    <w:rsid w:val="00772A28"/>
    <w:rsid w:val="00774D58"/>
    <w:rsid w:val="007752CB"/>
    <w:rsid w:val="007765D1"/>
    <w:rsid w:val="00786016"/>
    <w:rsid w:val="0079212A"/>
    <w:rsid w:val="007A09C0"/>
    <w:rsid w:val="007A2BBE"/>
    <w:rsid w:val="007A2D7A"/>
    <w:rsid w:val="007A7DF1"/>
    <w:rsid w:val="007C1A06"/>
    <w:rsid w:val="007C47FE"/>
    <w:rsid w:val="007E0612"/>
    <w:rsid w:val="007E5296"/>
    <w:rsid w:val="007E6E10"/>
    <w:rsid w:val="007E7716"/>
    <w:rsid w:val="007F2EA0"/>
    <w:rsid w:val="008076A0"/>
    <w:rsid w:val="00815AA5"/>
    <w:rsid w:val="0082168D"/>
    <w:rsid w:val="00821CD0"/>
    <w:rsid w:val="00826FD1"/>
    <w:rsid w:val="00851609"/>
    <w:rsid w:val="00851B73"/>
    <w:rsid w:val="0085522A"/>
    <w:rsid w:val="008616CE"/>
    <w:rsid w:val="00864DEB"/>
    <w:rsid w:val="0087326C"/>
    <w:rsid w:val="00883807"/>
    <w:rsid w:val="008841F0"/>
    <w:rsid w:val="00884DA1"/>
    <w:rsid w:val="00896DC2"/>
    <w:rsid w:val="008A5241"/>
    <w:rsid w:val="008A60A7"/>
    <w:rsid w:val="008D3AD6"/>
    <w:rsid w:val="008D6720"/>
    <w:rsid w:val="008E0FD5"/>
    <w:rsid w:val="008E2D41"/>
    <w:rsid w:val="008E3BA7"/>
    <w:rsid w:val="008E68DD"/>
    <w:rsid w:val="008F7B7B"/>
    <w:rsid w:val="0091120D"/>
    <w:rsid w:val="009246BB"/>
    <w:rsid w:val="00924D2E"/>
    <w:rsid w:val="00925AC8"/>
    <w:rsid w:val="009375E8"/>
    <w:rsid w:val="0094718C"/>
    <w:rsid w:val="0096257B"/>
    <w:rsid w:val="00963D59"/>
    <w:rsid w:val="009663FD"/>
    <w:rsid w:val="00967202"/>
    <w:rsid w:val="0097107F"/>
    <w:rsid w:val="00971BB4"/>
    <w:rsid w:val="00972989"/>
    <w:rsid w:val="00994AF1"/>
    <w:rsid w:val="009A4715"/>
    <w:rsid w:val="009A6689"/>
    <w:rsid w:val="009B0065"/>
    <w:rsid w:val="009B3669"/>
    <w:rsid w:val="009C78B2"/>
    <w:rsid w:val="009C7BE8"/>
    <w:rsid w:val="009D1177"/>
    <w:rsid w:val="009D53A9"/>
    <w:rsid w:val="009E4340"/>
    <w:rsid w:val="009E5729"/>
    <w:rsid w:val="009E7EA8"/>
    <w:rsid w:val="009F0F9E"/>
    <w:rsid w:val="009F15A6"/>
    <w:rsid w:val="009F40B9"/>
    <w:rsid w:val="00A02B5E"/>
    <w:rsid w:val="00A03226"/>
    <w:rsid w:val="00A103CC"/>
    <w:rsid w:val="00A10563"/>
    <w:rsid w:val="00A13908"/>
    <w:rsid w:val="00A17E3F"/>
    <w:rsid w:val="00A21620"/>
    <w:rsid w:val="00A21D65"/>
    <w:rsid w:val="00A2473A"/>
    <w:rsid w:val="00A2604E"/>
    <w:rsid w:val="00A30690"/>
    <w:rsid w:val="00A358D7"/>
    <w:rsid w:val="00A410E3"/>
    <w:rsid w:val="00A44FA1"/>
    <w:rsid w:val="00A46751"/>
    <w:rsid w:val="00A46B4A"/>
    <w:rsid w:val="00A47A6F"/>
    <w:rsid w:val="00A52C0E"/>
    <w:rsid w:val="00A7736F"/>
    <w:rsid w:val="00A82C82"/>
    <w:rsid w:val="00A92EA7"/>
    <w:rsid w:val="00A974E8"/>
    <w:rsid w:val="00AA3083"/>
    <w:rsid w:val="00AB11F4"/>
    <w:rsid w:val="00AB72DD"/>
    <w:rsid w:val="00AC34EF"/>
    <w:rsid w:val="00AD22B5"/>
    <w:rsid w:val="00AD2EE0"/>
    <w:rsid w:val="00AD7EB7"/>
    <w:rsid w:val="00AE435E"/>
    <w:rsid w:val="00AE7AD1"/>
    <w:rsid w:val="00AF02FB"/>
    <w:rsid w:val="00AF4632"/>
    <w:rsid w:val="00AF7868"/>
    <w:rsid w:val="00B023AA"/>
    <w:rsid w:val="00B12927"/>
    <w:rsid w:val="00B15229"/>
    <w:rsid w:val="00B2090C"/>
    <w:rsid w:val="00B209EE"/>
    <w:rsid w:val="00B23E81"/>
    <w:rsid w:val="00B26124"/>
    <w:rsid w:val="00B46E76"/>
    <w:rsid w:val="00B54166"/>
    <w:rsid w:val="00B541C8"/>
    <w:rsid w:val="00B550E6"/>
    <w:rsid w:val="00B566AC"/>
    <w:rsid w:val="00B56D5E"/>
    <w:rsid w:val="00B60189"/>
    <w:rsid w:val="00B61AAC"/>
    <w:rsid w:val="00B6267A"/>
    <w:rsid w:val="00B63F11"/>
    <w:rsid w:val="00B66649"/>
    <w:rsid w:val="00B708CD"/>
    <w:rsid w:val="00B70CAE"/>
    <w:rsid w:val="00B77F24"/>
    <w:rsid w:val="00B80E56"/>
    <w:rsid w:val="00BA397D"/>
    <w:rsid w:val="00BC21AD"/>
    <w:rsid w:val="00BC3CDC"/>
    <w:rsid w:val="00BC64FE"/>
    <w:rsid w:val="00BD62D8"/>
    <w:rsid w:val="00BD7B19"/>
    <w:rsid w:val="00BF3825"/>
    <w:rsid w:val="00C14AE7"/>
    <w:rsid w:val="00C15BD8"/>
    <w:rsid w:val="00C200C1"/>
    <w:rsid w:val="00C22BCC"/>
    <w:rsid w:val="00C23FDD"/>
    <w:rsid w:val="00C33FF9"/>
    <w:rsid w:val="00C41F85"/>
    <w:rsid w:val="00C42DB6"/>
    <w:rsid w:val="00C46823"/>
    <w:rsid w:val="00C54F01"/>
    <w:rsid w:val="00C57189"/>
    <w:rsid w:val="00C57726"/>
    <w:rsid w:val="00C63C00"/>
    <w:rsid w:val="00C6555D"/>
    <w:rsid w:val="00C65E1B"/>
    <w:rsid w:val="00C6745F"/>
    <w:rsid w:val="00C6782B"/>
    <w:rsid w:val="00C7101E"/>
    <w:rsid w:val="00C74EA3"/>
    <w:rsid w:val="00C838C9"/>
    <w:rsid w:val="00C848FD"/>
    <w:rsid w:val="00C92378"/>
    <w:rsid w:val="00C92D10"/>
    <w:rsid w:val="00C939FD"/>
    <w:rsid w:val="00CA4F29"/>
    <w:rsid w:val="00CA5FA2"/>
    <w:rsid w:val="00CB244D"/>
    <w:rsid w:val="00CB350D"/>
    <w:rsid w:val="00CC4756"/>
    <w:rsid w:val="00CD30FA"/>
    <w:rsid w:val="00CD7F69"/>
    <w:rsid w:val="00CE42E7"/>
    <w:rsid w:val="00CE46DD"/>
    <w:rsid w:val="00CE5BCD"/>
    <w:rsid w:val="00CE6E9D"/>
    <w:rsid w:val="00CF2D1B"/>
    <w:rsid w:val="00D00329"/>
    <w:rsid w:val="00D00ADA"/>
    <w:rsid w:val="00D00E7F"/>
    <w:rsid w:val="00D02709"/>
    <w:rsid w:val="00D14810"/>
    <w:rsid w:val="00D1664B"/>
    <w:rsid w:val="00D213DC"/>
    <w:rsid w:val="00D31D29"/>
    <w:rsid w:val="00D40F67"/>
    <w:rsid w:val="00D45E27"/>
    <w:rsid w:val="00D516F2"/>
    <w:rsid w:val="00D51B7E"/>
    <w:rsid w:val="00D57258"/>
    <w:rsid w:val="00D60589"/>
    <w:rsid w:val="00D62600"/>
    <w:rsid w:val="00D628F5"/>
    <w:rsid w:val="00D65B87"/>
    <w:rsid w:val="00D70258"/>
    <w:rsid w:val="00D70570"/>
    <w:rsid w:val="00D7159B"/>
    <w:rsid w:val="00D87182"/>
    <w:rsid w:val="00DA3342"/>
    <w:rsid w:val="00DA3A5D"/>
    <w:rsid w:val="00DB1E9C"/>
    <w:rsid w:val="00DB3915"/>
    <w:rsid w:val="00DB4CCD"/>
    <w:rsid w:val="00DB57F6"/>
    <w:rsid w:val="00DB7498"/>
    <w:rsid w:val="00DC02C3"/>
    <w:rsid w:val="00DC481A"/>
    <w:rsid w:val="00DC4E2C"/>
    <w:rsid w:val="00DC68A1"/>
    <w:rsid w:val="00DD036A"/>
    <w:rsid w:val="00DD313C"/>
    <w:rsid w:val="00DD6C4E"/>
    <w:rsid w:val="00DE1A04"/>
    <w:rsid w:val="00DE3203"/>
    <w:rsid w:val="00E0375B"/>
    <w:rsid w:val="00E11516"/>
    <w:rsid w:val="00E13DFE"/>
    <w:rsid w:val="00E15919"/>
    <w:rsid w:val="00E342E3"/>
    <w:rsid w:val="00E46A24"/>
    <w:rsid w:val="00E512E0"/>
    <w:rsid w:val="00E5165A"/>
    <w:rsid w:val="00E52472"/>
    <w:rsid w:val="00E55465"/>
    <w:rsid w:val="00E75D1A"/>
    <w:rsid w:val="00E76B7B"/>
    <w:rsid w:val="00E80F88"/>
    <w:rsid w:val="00E8267E"/>
    <w:rsid w:val="00E85ECA"/>
    <w:rsid w:val="00E87413"/>
    <w:rsid w:val="00E918E4"/>
    <w:rsid w:val="00EB12AB"/>
    <w:rsid w:val="00EB689D"/>
    <w:rsid w:val="00EC5B4A"/>
    <w:rsid w:val="00EC60F6"/>
    <w:rsid w:val="00EC6D32"/>
    <w:rsid w:val="00ED0001"/>
    <w:rsid w:val="00ED03AC"/>
    <w:rsid w:val="00ED1889"/>
    <w:rsid w:val="00ED1F12"/>
    <w:rsid w:val="00EE466A"/>
    <w:rsid w:val="00EE69E0"/>
    <w:rsid w:val="00EF2507"/>
    <w:rsid w:val="00EF3DC9"/>
    <w:rsid w:val="00F02DAE"/>
    <w:rsid w:val="00F04268"/>
    <w:rsid w:val="00F132EC"/>
    <w:rsid w:val="00F226D6"/>
    <w:rsid w:val="00F30901"/>
    <w:rsid w:val="00F36E41"/>
    <w:rsid w:val="00F44891"/>
    <w:rsid w:val="00F46A38"/>
    <w:rsid w:val="00F51BEA"/>
    <w:rsid w:val="00F75482"/>
    <w:rsid w:val="00F84658"/>
    <w:rsid w:val="00F94871"/>
    <w:rsid w:val="00F95B1B"/>
    <w:rsid w:val="00FA29B1"/>
    <w:rsid w:val="00FB60B5"/>
    <w:rsid w:val="00FB656F"/>
    <w:rsid w:val="00FC6136"/>
    <w:rsid w:val="00FC6C71"/>
    <w:rsid w:val="00FD2E00"/>
    <w:rsid w:val="00FD4CC0"/>
    <w:rsid w:val="00FE2FA0"/>
    <w:rsid w:val="00FE62A1"/>
    <w:rsid w:val="00FE6A54"/>
    <w:rsid w:val="00FE797A"/>
    <w:rsid w:val="00FE7D6D"/>
    <w:rsid w:val="00FF1EFF"/>
    <w:rsid w:val="00FF62C9"/>
    <w:rsid w:val="00FF79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1A6748"/>
  <w15:chartTrackingRefBased/>
  <w15:docId w15:val="{86FB6067-136B-F049-A491-6E25AEEB3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351643"/>
    <w:rPr>
      <w:rFonts w:ascii="ＭＳ Ｐゴシック" w:eastAsia="ＭＳ Ｐゴシック" w:hAnsi="ＭＳ Ｐゴシック" w:cs="ＭＳ Ｐゴシック"/>
      <w:kern w:val="0"/>
    </w:rPr>
  </w:style>
  <w:style w:type="paragraph" w:styleId="1">
    <w:name w:val="heading 1"/>
    <w:basedOn w:val="a"/>
    <w:next w:val="a"/>
    <w:link w:val="10"/>
    <w:uiPriority w:val="9"/>
    <w:qFormat/>
    <w:rsid w:val="00351643"/>
    <w:pPr>
      <w:keepNext/>
      <w:outlineLvl w:val="0"/>
    </w:pPr>
    <w:rPr>
      <w:rFonts w:ascii="Arial" w:eastAsia="ＭＳ ゴシック" w:hAnsi="Arial"/>
      <w:sz w:val="28"/>
      <w:szCs w:val="28"/>
      <w:lang w:val="x-none" w:eastAsia="x-none"/>
    </w:rPr>
  </w:style>
  <w:style w:type="paragraph" w:styleId="2">
    <w:name w:val="heading 2"/>
    <w:basedOn w:val="a"/>
    <w:link w:val="20"/>
    <w:uiPriority w:val="9"/>
    <w:qFormat/>
    <w:rsid w:val="00351643"/>
    <w:pPr>
      <w:spacing w:beforeLines="1" w:afterLines="1"/>
      <w:outlineLvl w:val="1"/>
    </w:pPr>
    <w:rPr>
      <w:rFonts w:ascii="Times" w:hAnsi="Times"/>
      <w:b/>
      <w:sz w:val="36"/>
      <w:szCs w:val="20"/>
      <w:lang w:val="x-none" w:eastAsia="x-none"/>
    </w:rPr>
  </w:style>
  <w:style w:type="paragraph" w:styleId="3">
    <w:name w:val="heading 3"/>
    <w:basedOn w:val="a"/>
    <w:next w:val="a"/>
    <w:link w:val="30"/>
    <w:uiPriority w:val="9"/>
    <w:unhideWhenUsed/>
    <w:qFormat/>
    <w:rsid w:val="00351643"/>
    <w:pPr>
      <w:keepNext/>
      <w:ind w:leftChars="400" w:left="400"/>
      <w:outlineLvl w:val="2"/>
    </w:pPr>
    <w:rPr>
      <w:rFonts w:ascii="游ゴシック Light" w:eastAsia="游ゴシック Light" w:hAnsi="游ゴシック Light" w:cs="Times New Roman"/>
    </w:rPr>
  </w:style>
  <w:style w:type="paragraph" w:styleId="4">
    <w:name w:val="heading 4"/>
    <w:basedOn w:val="a"/>
    <w:link w:val="40"/>
    <w:uiPriority w:val="9"/>
    <w:qFormat/>
    <w:rsid w:val="00351643"/>
    <w:pPr>
      <w:spacing w:beforeLines="1" w:afterLines="1"/>
      <w:outlineLvl w:val="3"/>
    </w:pPr>
    <w:rPr>
      <w:rFonts w:ascii="Times" w:hAnsi="Times"/>
      <w:b/>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51643"/>
    <w:rPr>
      <w:rFonts w:ascii="Arial" w:eastAsia="ＭＳ ゴシック" w:hAnsi="Arial" w:cs="ＭＳ Ｐゴシック"/>
      <w:kern w:val="0"/>
      <w:sz w:val="28"/>
      <w:szCs w:val="28"/>
      <w:lang w:val="x-none" w:eastAsia="x-none"/>
    </w:rPr>
  </w:style>
  <w:style w:type="character" w:customStyle="1" w:styleId="20">
    <w:name w:val="見出し 2 (文字)"/>
    <w:basedOn w:val="a0"/>
    <w:link w:val="2"/>
    <w:uiPriority w:val="9"/>
    <w:rsid w:val="00351643"/>
    <w:rPr>
      <w:rFonts w:ascii="Times" w:eastAsia="ＭＳ Ｐゴシック" w:hAnsi="Times" w:cs="ＭＳ Ｐゴシック"/>
      <w:b/>
      <w:kern w:val="0"/>
      <w:sz w:val="36"/>
      <w:szCs w:val="20"/>
      <w:lang w:val="x-none" w:eastAsia="x-none"/>
    </w:rPr>
  </w:style>
  <w:style w:type="character" w:customStyle="1" w:styleId="30">
    <w:name w:val="見出し 3 (文字)"/>
    <w:basedOn w:val="a0"/>
    <w:link w:val="3"/>
    <w:uiPriority w:val="9"/>
    <w:rsid w:val="00351643"/>
    <w:rPr>
      <w:rFonts w:ascii="游ゴシック Light" w:eastAsia="游ゴシック Light" w:hAnsi="游ゴシック Light" w:cs="Times New Roman"/>
      <w:kern w:val="0"/>
    </w:rPr>
  </w:style>
  <w:style w:type="character" w:customStyle="1" w:styleId="40">
    <w:name w:val="見出し 4 (文字)"/>
    <w:basedOn w:val="a0"/>
    <w:link w:val="4"/>
    <w:uiPriority w:val="9"/>
    <w:rsid w:val="00351643"/>
    <w:rPr>
      <w:rFonts w:ascii="Times" w:eastAsia="ＭＳ Ｐゴシック" w:hAnsi="Times" w:cs="ＭＳ Ｐゴシック"/>
      <w:b/>
      <w:kern w:val="0"/>
      <w:szCs w:val="20"/>
      <w:lang w:val="x-none" w:eastAsia="x-none"/>
    </w:rPr>
  </w:style>
  <w:style w:type="character" w:styleId="a3">
    <w:name w:val="annotation reference"/>
    <w:uiPriority w:val="99"/>
    <w:semiHidden/>
    <w:unhideWhenUsed/>
    <w:rsid w:val="00351643"/>
    <w:rPr>
      <w:sz w:val="18"/>
      <w:szCs w:val="18"/>
    </w:rPr>
  </w:style>
  <w:style w:type="paragraph" w:styleId="a4">
    <w:name w:val="annotation text"/>
    <w:basedOn w:val="a"/>
    <w:link w:val="a5"/>
    <w:uiPriority w:val="99"/>
    <w:semiHidden/>
    <w:unhideWhenUsed/>
    <w:rsid w:val="00351643"/>
    <w:rPr>
      <w:sz w:val="20"/>
      <w:szCs w:val="20"/>
      <w:lang w:val="x-none" w:eastAsia="x-none"/>
    </w:rPr>
  </w:style>
  <w:style w:type="character" w:customStyle="1" w:styleId="a5">
    <w:name w:val="コメント文字列 (文字)"/>
    <w:basedOn w:val="a0"/>
    <w:link w:val="a4"/>
    <w:uiPriority w:val="99"/>
    <w:semiHidden/>
    <w:rsid w:val="00351643"/>
    <w:rPr>
      <w:rFonts w:ascii="ＭＳ Ｐゴシック" w:eastAsia="ＭＳ Ｐゴシック" w:hAnsi="ＭＳ Ｐゴシック" w:cs="ＭＳ Ｐゴシック"/>
      <w:kern w:val="0"/>
      <w:sz w:val="20"/>
      <w:szCs w:val="20"/>
      <w:lang w:val="x-none" w:eastAsia="x-none"/>
    </w:rPr>
  </w:style>
  <w:style w:type="paragraph" w:styleId="a6">
    <w:name w:val="Balloon Text"/>
    <w:basedOn w:val="a"/>
    <w:link w:val="a7"/>
    <w:uiPriority w:val="99"/>
    <w:semiHidden/>
    <w:unhideWhenUsed/>
    <w:rsid w:val="00351643"/>
    <w:rPr>
      <w:rFonts w:ascii="ヒラギノ角ゴ ProN W3" w:eastAsia="ヒラギノ角ゴ ProN W3"/>
      <w:sz w:val="18"/>
      <w:szCs w:val="18"/>
      <w:lang w:val="x-none" w:eastAsia="x-none"/>
    </w:rPr>
  </w:style>
  <w:style w:type="character" w:customStyle="1" w:styleId="a7">
    <w:name w:val="吹き出し (文字)"/>
    <w:basedOn w:val="a0"/>
    <w:link w:val="a6"/>
    <w:uiPriority w:val="99"/>
    <w:semiHidden/>
    <w:rsid w:val="00351643"/>
    <w:rPr>
      <w:rFonts w:ascii="ヒラギノ角ゴ ProN W3" w:eastAsia="ヒラギノ角ゴ ProN W3" w:hAnsi="ＭＳ Ｐゴシック" w:cs="ＭＳ Ｐゴシック"/>
      <w:kern w:val="0"/>
      <w:sz w:val="18"/>
      <w:szCs w:val="18"/>
      <w:lang w:val="x-none" w:eastAsia="x-none"/>
    </w:rPr>
  </w:style>
  <w:style w:type="paragraph" w:styleId="a8">
    <w:name w:val="header"/>
    <w:basedOn w:val="a"/>
    <w:link w:val="a9"/>
    <w:uiPriority w:val="99"/>
    <w:unhideWhenUsed/>
    <w:rsid w:val="00351643"/>
    <w:pPr>
      <w:tabs>
        <w:tab w:val="center" w:pos="4252"/>
        <w:tab w:val="right" w:pos="8504"/>
      </w:tabs>
      <w:snapToGrid w:val="0"/>
    </w:pPr>
    <w:rPr>
      <w:lang w:val="x-none" w:eastAsia="x-none"/>
    </w:rPr>
  </w:style>
  <w:style w:type="character" w:customStyle="1" w:styleId="a9">
    <w:name w:val="ヘッダー (文字)"/>
    <w:basedOn w:val="a0"/>
    <w:link w:val="a8"/>
    <w:uiPriority w:val="99"/>
    <w:rsid w:val="00351643"/>
    <w:rPr>
      <w:rFonts w:ascii="ＭＳ Ｐゴシック" w:eastAsia="ＭＳ Ｐゴシック" w:hAnsi="ＭＳ Ｐゴシック" w:cs="ＭＳ Ｐゴシック"/>
      <w:kern w:val="0"/>
      <w:lang w:val="x-none" w:eastAsia="x-none"/>
    </w:rPr>
  </w:style>
  <w:style w:type="paragraph" w:styleId="aa">
    <w:name w:val="footer"/>
    <w:basedOn w:val="a"/>
    <w:link w:val="ab"/>
    <w:uiPriority w:val="99"/>
    <w:unhideWhenUsed/>
    <w:rsid w:val="00351643"/>
    <w:pPr>
      <w:tabs>
        <w:tab w:val="center" w:pos="4252"/>
        <w:tab w:val="right" w:pos="8504"/>
      </w:tabs>
      <w:snapToGrid w:val="0"/>
    </w:pPr>
    <w:rPr>
      <w:lang w:val="x-none" w:eastAsia="x-none"/>
    </w:rPr>
  </w:style>
  <w:style w:type="character" w:customStyle="1" w:styleId="ab">
    <w:name w:val="フッター (文字)"/>
    <w:basedOn w:val="a0"/>
    <w:link w:val="aa"/>
    <w:uiPriority w:val="99"/>
    <w:rsid w:val="00351643"/>
    <w:rPr>
      <w:rFonts w:ascii="ＭＳ Ｐゴシック" w:eastAsia="ＭＳ Ｐゴシック" w:hAnsi="ＭＳ Ｐゴシック" w:cs="ＭＳ Ｐゴシック"/>
      <w:kern w:val="0"/>
      <w:lang w:val="x-none" w:eastAsia="x-none"/>
    </w:rPr>
  </w:style>
  <w:style w:type="character" w:styleId="ac">
    <w:name w:val="page number"/>
    <w:uiPriority w:val="99"/>
    <w:unhideWhenUsed/>
    <w:rsid w:val="00351643"/>
  </w:style>
  <w:style w:type="paragraph" w:styleId="ad">
    <w:name w:val="annotation subject"/>
    <w:basedOn w:val="a4"/>
    <w:next w:val="a4"/>
    <w:link w:val="ae"/>
    <w:uiPriority w:val="99"/>
    <w:semiHidden/>
    <w:unhideWhenUsed/>
    <w:rsid w:val="00351643"/>
    <w:rPr>
      <w:b/>
      <w:bCs/>
      <w:kern w:val="2"/>
      <w:sz w:val="24"/>
      <w:szCs w:val="24"/>
    </w:rPr>
  </w:style>
  <w:style w:type="character" w:customStyle="1" w:styleId="ae">
    <w:name w:val="コメント内容 (文字)"/>
    <w:basedOn w:val="a5"/>
    <w:link w:val="ad"/>
    <w:uiPriority w:val="99"/>
    <w:semiHidden/>
    <w:rsid w:val="00351643"/>
    <w:rPr>
      <w:rFonts w:ascii="ＭＳ Ｐゴシック" w:eastAsia="ＭＳ Ｐゴシック" w:hAnsi="ＭＳ Ｐゴシック" w:cs="ＭＳ Ｐゴシック"/>
      <w:b/>
      <w:bCs/>
      <w:kern w:val="0"/>
      <w:sz w:val="20"/>
      <w:szCs w:val="20"/>
      <w:lang w:val="x-none" w:eastAsia="x-none"/>
    </w:rPr>
  </w:style>
  <w:style w:type="paragraph" w:customStyle="1" w:styleId="p1">
    <w:name w:val="p1"/>
    <w:basedOn w:val="a"/>
    <w:rsid w:val="00351643"/>
    <w:rPr>
      <w:rFonts w:ascii="Times New Roman" w:hAnsi="Times New Roman"/>
      <w:sz w:val="20"/>
      <w:szCs w:val="20"/>
    </w:rPr>
  </w:style>
  <w:style w:type="paragraph" w:customStyle="1" w:styleId="121">
    <w:name w:val="表 (青) 121"/>
    <w:hidden/>
    <w:uiPriority w:val="99"/>
    <w:rsid w:val="00351643"/>
    <w:rPr>
      <w:rFonts w:ascii="Century" w:eastAsia="ＭＳ 明朝" w:hAnsi="Century" w:cs="Times New Roman"/>
    </w:rPr>
  </w:style>
  <w:style w:type="character" w:styleId="af">
    <w:name w:val="Emphasis"/>
    <w:uiPriority w:val="20"/>
    <w:qFormat/>
    <w:rsid w:val="00351643"/>
    <w:rPr>
      <w:i/>
    </w:rPr>
  </w:style>
  <w:style w:type="character" w:customStyle="1" w:styleId="e24kjd">
    <w:name w:val="e24kjd"/>
    <w:basedOn w:val="a0"/>
    <w:rsid w:val="00351643"/>
  </w:style>
  <w:style w:type="paragraph" w:styleId="af0">
    <w:name w:val="Revision"/>
    <w:hidden/>
    <w:rsid w:val="00351643"/>
    <w:rPr>
      <w:rFonts w:ascii="Century" w:eastAsia="ＭＳ 明朝" w:hAnsi="Century" w:cs="Times New Roman"/>
    </w:rPr>
  </w:style>
  <w:style w:type="character" w:customStyle="1" w:styleId="lrzxr">
    <w:name w:val="lrzxr"/>
    <w:rsid w:val="00351643"/>
  </w:style>
  <w:style w:type="paragraph" w:styleId="HTML">
    <w:name w:val="HTML Preformatted"/>
    <w:basedOn w:val="a"/>
    <w:link w:val="HTML0"/>
    <w:uiPriority w:val="99"/>
    <w:semiHidden/>
    <w:unhideWhenUsed/>
    <w:rsid w:val="00351643"/>
    <w:rPr>
      <w:rFonts w:ascii="Courier" w:hAnsi="Courier"/>
      <w:sz w:val="20"/>
      <w:szCs w:val="20"/>
      <w:lang w:val="x-none" w:eastAsia="x-none"/>
    </w:rPr>
  </w:style>
  <w:style w:type="character" w:customStyle="1" w:styleId="HTML0">
    <w:name w:val="HTML 書式付き (文字)"/>
    <w:basedOn w:val="a0"/>
    <w:link w:val="HTML"/>
    <w:uiPriority w:val="99"/>
    <w:semiHidden/>
    <w:rsid w:val="00351643"/>
    <w:rPr>
      <w:rFonts w:ascii="Courier" w:eastAsia="ＭＳ Ｐゴシック" w:hAnsi="Courier" w:cs="ＭＳ Ｐゴシック"/>
      <w:kern w:val="0"/>
      <w:sz w:val="20"/>
      <w:szCs w:val="20"/>
      <w:lang w:val="x-none" w:eastAsia="x-none"/>
    </w:rPr>
  </w:style>
  <w:style w:type="paragraph" w:customStyle="1" w:styleId="EndNoteBibliographyTitle">
    <w:name w:val="EndNote Bibliography Title"/>
    <w:basedOn w:val="a"/>
    <w:rsid w:val="00351643"/>
    <w:pPr>
      <w:jc w:val="center"/>
    </w:pPr>
    <w:rPr>
      <w:rFonts w:ascii="Times New Roman" w:hAnsi="Times New Roman"/>
    </w:rPr>
  </w:style>
  <w:style w:type="paragraph" w:customStyle="1" w:styleId="EndNoteBibliography">
    <w:name w:val="EndNote Bibliography"/>
    <w:basedOn w:val="a"/>
    <w:rsid w:val="00351643"/>
    <w:pPr>
      <w:tabs>
        <w:tab w:val="left" w:pos="567"/>
      </w:tabs>
    </w:pPr>
    <w:rPr>
      <w:rFonts w:ascii="Times New Roman" w:eastAsia="ヒラギノ角ゴ Pro W3" w:hAnsi="Times New Roman"/>
      <w:color w:val="000000"/>
    </w:rPr>
  </w:style>
  <w:style w:type="character" w:styleId="af1">
    <w:name w:val="Hyperlink"/>
    <w:uiPriority w:val="99"/>
    <w:unhideWhenUsed/>
    <w:rsid w:val="00351643"/>
    <w:rPr>
      <w:color w:val="0000FF"/>
      <w:u w:val="single"/>
    </w:rPr>
  </w:style>
  <w:style w:type="character" w:styleId="af2">
    <w:name w:val="FollowedHyperlink"/>
    <w:uiPriority w:val="99"/>
    <w:rsid w:val="00351643"/>
    <w:rPr>
      <w:color w:val="800080"/>
      <w:u w:val="single"/>
    </w:rPr>
  </w:style>
  <w:style w:type="character" w:customStyle="1" w:styleId="annotationsuperscript">
    <w:name w:val="annotation superscript"/>
    <w:rsid w:val="00351643"/>
  </w:style>
  <w:style w:type="character" w:customStyle="1" w:styleId="annotationsubscript">
    <w:name w:val="annotation subscript"/>
    <w:rsid w:val="00351643"/>
  </w:style>
  <w:style w:type="character" w:customStyle="1" w:styleId="annotationemphasis">
    <w:name w:val="annotation emphasis"/>
    <w:rsid w:val="00351643"/>
  </w:style>
  <w:style w:type="character" w:customStyle="1" w:styleId="annotationstrong">
    <w:name w:val="annotation strong"/>
    <w:rsid w:val="00351643"/>
  </w:style>
  <w:style w:type="character" w:customStyle="1" w:styleId="sc">
    <w:name w:val="sc"/>
    <w:rsid w:val="00351643"/>
  </w:style>
  <w:style w:type="character" w:styleId="af3">
    <w:name w:val="line number"/>
    <w:rsid w:val="00351643"/>
  </w:style>
  <w:style w:type="character" w:customStyle="1" w:styleId="article-headermeta-info-label">
    <w:name w:val="article-header__meta-info-label"/>
    <w:rsid w:val="00351643"/>
  </w:style>
  <w:style w:type="character" w:customStyle="1" w:styleId="article-headermeta-info-data">
    <w:name w:val="article-header__meta-info-data"/>
    <w:rsid w:val="00351643"/>
  </w:style>
  <w:style w:type="character" w:customStyle="1" w:styleId="slug-doi">
    <w:name w:val="slug-doi"/>
    <w:rsid w:val="00351643"/>
  </w:style>
  <w:style w:type="character" w:customStyle="1" w:styleId="st">
    <w:name w:val="st"/>
    <w:basedOn w:val="a0"/>
    <w:rsid w:val="00351643"/>
  </w:style>
  <w:style w:type="character" w:customStyle="1" w:styleId="toptext">
    <w:name w:val="top__text"/>
    <w:rsid w:val="00351643"/>
  </w:style>
  <w:style w:type="character" w:customStyle="1" w:styleId="display">
    <w:name w:val="display"/>
    <w:rsid w:val="00351643"/>
  </w:style>
  <w:style w:type="character" w:styleId="af4">
    <w:name w:val="Strong"/>
    <w:uiPriority w:val="22"/>
    <w:qFormat/>
    <w:rsid w:val="00351643"/>
    <w:rPr>
      <w:b/>
      <w:bCs/>
    </w:rPr>
  </w:style>
  <w:style w:type="character" w:customStyle="1" w:styleId="productsdesc">
    <w:name w:val="product_s_desc"/>
    <w:rsid w:val="00351643"/>
  </w:style>
  <w:style w:type="character" w:customStyle="1" w:styleId="apple-converted-space">
    <w:name w:val="apple-converted-space"/>
    <w:basedOn w:val="a0"/>
    <w:rsid w:val="00351643"/>
  </w:style>
  <w:style w:type="paragraph" w:styleId="Web">
    <w:name w:val="Normal (Web)"/>
    <w:basedOn w:val="a"/>
    <w:uiPriority w:val="99"/>
    <w:semiHidden/>
    <w:unhideWhenUsed/>
    <w:rsid w:val="00351643"/>
    <w:rPr>
      <w:rFonts w:ascii="Times New Roman" w:hAnsi="Times New Roman" w:cs="Times New Roman"/>
    </w:rPr>
  </w:style>
  <w:style w:type="character" w:styleId="af5">
    <w:name w:val="Unresolved Mention"/>
    <w:basedOn w:val="a0"/>
    <w:uiPriority w:val="99"/>
    <w:rsid w:val="003516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642736">
      <w:bodyDiv w:val="1"/>
      <w:marLeft w:val="0"/>
      <w:marRight w:val="0"/>
      <w:marTop w:val="0"/>
      <w:marBottom w:val="0"/>
      <w:divBdr>
        <w:top w:val="none" w:sz="0" w:space="0" w:color="auto"/>
        <w:left w:val="none" w:sz="0" w:space="0" w:color="auto"/>
        <w:bottom w:val="none" w:sz="0" w:space="0" w:color="auto"/>
        <w:right w:val="none" w:sz="0" w:space="0" w:color="auto"/>
      </w:divBdr>
    </w:div>
    <w:div w:id="331761423">
      <w:bodyDiv w:val="1"/>
      <w:marLeft w:val="0"/>
      <w:marRight w:val="0"/>
      <w:marTop w:val="0"/>
      <w:marBottom w:val="0"/>
      <w:divBdr>
        <w:top w:val="none" w:sz="0" w:space="0" w:color="auto"/>
        <w:left w:val="none" w:sz="0" w:space="0" w:color="auto"/>
        <w:bottom w:val="none" w:sz="0" w:space="0" w:color="auto"/>
        <w:right w:val="none" w:sz="0" w:space="0" w:color="auto"/>
      </w:divBdr>
    </w:div>
    <w:div w:id="792867122">
      <w:bodyDiv w:val="1"/>
      <w:marLeft w:val="0"/>
      <w:marRight w:val="0"/>
      <w:marTop w:val="0"/>
      <w:marBottom w:val="0"/>
      <w:divBdr>
        <w:top w:val="none" w:sz="0" w:space="0" w:color="auto"/>
        <w:left w:val="none" w:sz="0" w:space="0" w:color="auto"/>
        <w:bottom w:val="none" w:sz="0" w:space="0" w:color="auto"/>
        <w:right w:val="none" w:sz="0" w:space="0" w:color="auto"/>
      </w:divBdr>
    </w:div>
    <w:div w:id="1172069022">
      <w:bodyDiv w:val="1"/>
      <w:marLeft w:val="0"/>
      <w:marRight w:val="0"/>
      <w:marTop w:val="0"/>
      <w:marBottom w:val="0"/>
      <w:divBdr>
        <w:top w:val="none" w:sz="0" w:space="0" w:color="auto"/>
        <w:left w:val="none" w:sz="0" w:space="0" w:color="auto"/>
        <w:bottom w:val="none" w:sz="0" w:space="0" w:color="auto"/>
        <w:right w:val="none" w:sz="0" w:space="0" w:color="auto"/>
      </w:divBdr>
    </w:div>
    <w:div w:id="1234244321">
      <w:bodyDiv w:val="1"/>
      <w:marLeft w:val="0"/>
      <w:marRight w:val="0"/>
      <w:marTop w:val="0"/>
      <w:marBottom w:val="0"/>
      <w:divBdr>
        <w:top w:val="none" w:sz="0" w:space="0" w:color="auto"/>
        <w:left w:val="none" w:sz="0" w:space="0" w:color="auto"/>
        <w:bottom w:val="none" w:sz="0" w:space="0" w:color="auto"/>
        <w:right w:val="none" w:sz="0" w:space="0" w:color="auto"/>
      </w:divBdr>
    </w:div>
    <w:div w:id="1816141958">
      <w:bodyDiv w:val="1"/>
      <w:marLeft w:val="0"/>
      <w:marRight w:val="0"/>
      <w:marTop w:val="0"/>
      <w:marBottom w:val="0"/>
      <w:divBdr>
        <w:top w:val="none" w:sz="0" w:space="0" w:color="auto"/>
        <w:left w:val="none" w:sz="0" w:space="0" w:color="auto"/>
        <w:bottom w:val="none" w:sz="0" w:space="0" w:color="auto"/>
        <w:right w:val="none" w:sz="0" w:space="0" w:color="auto"/>
      </w:divBdr>
    </w:div>
    <w:div w:id="20397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2B0E3-CC63-784B-99BB-5FE7C6A27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5716</Words>
  <Characters>32586</Characters>
  <Application>Microsoft Office Word</Application>
  <DocSecurity>0</DocSecurity>
  <Lines>271</Lines>
  <Paragraphs>76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博幸</dc:creator>
  <cp:keywords/>
  <dc:description/>
  <cp:lastModifiedBy>森　博幸</cp:lastModifiedBy>
  <cp:revision>3</cp:revision>
  <dcterms:created xsi:type="dcterms:W3CDTF">2020-11-24T07:02:00Z</dcterms:created>
  <dcterms:modified xsi:type="dcterms:W3CDTF">2020-11-25T01:05:00Z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http://www.zotero.org/styles/molecular-cell</vt:lpwstr>
  </property>
  <property fmtid="{D5CDD505-2E9C-101B-9397-08002B2CF9AE}" pid="15" name="Mendeley Recent Style Name 6_1">
    <vt:lpwstr>Molecular Cell</vt:lpwstr>
  </property>
  <property fmtid="{D5CDD505-2E9C-101B-9397-08002B2CF9AE}" pid="16" name="Mendeley Recent Style Id 7_1">
    <vt:lpwstr>http://www.zotero.org/styles/nature-communications</vt:lpwstr>
  </property>
  <property fmtid="{D5CDD505-2E9C-101B-9397-08002B2CF9AE}" pid="17" name="Mendeley Recent Style Name 7_1">
    <vt:lpwstr>Nature Communications</vt:lpwstr>
  </property>
  <property fmtid="{D5CDD505-2E9C-101B-9397-08002B2CF9AE}" pid="18" name="Mendeley Recent Style Id 8_1">
    <vt:lpwstr>http://csl.mendeley.com/styles/537784281/pnas</vt:lpwstr>
  </property>
  <property fmtid="{D5CDD505-2E9C-101B-9397-08002B2CF9AE}" pid="19" name="Mendeley Recent Style Name 8_1">
    <vt:lpwstr>Proceedings of the National Academy of Sciences of the United States of America - Yoshinori Akiyama</vt:lpwstr>
  </property>
  <property fmtid="{D5CDD505-2E9C-101B-9397-08002B2CF9AE}" pid="20" name="Mendeley Recent Style Id 9_1">
    <vt:lpwstr>http://www.zotero.org/styles/elife</vt:lpwstr>
  </property>
  <property fmtid="{D5CDD505-2E9C-101B-9397-08002B2CF9AE}" pid="21" name="Mendeley Recent Style Name 9_1">
    <vt:lpwstr>eLife</vt:lpwstr>
  </property>
  <property fmtid="{D5CDD505-2E9C-101B-9397-08002B2CF9AE}" pid="22" name="Mendeley Document_1">
    <vt:lpwstr>True</vt:lpwstr>
  </property>
  <property fmtid="{D5CDD505-2E9C-101B-9397-08002B2CF9AE}" pid="23" name="Mendeley Unique User Id_1">
    <vt:lpwstr>1365efcd-96cc-3ea7-b46f-8fbf3f6429c4</vt:lpwstr>
  </property>
  <property fmtid="{D5CDD505-2E9C-101B-9397-08002B2CF9AE}" pid="24" name="Mendeley Citation Style_1">
    <vt:lpwstr>http://www.zotero.org/styles/elife</vt:lpwstr>
  </property>
</Properties>
</file>