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170FA0C2" w14:textId="77777777" w:rsidR="00D06050" w:rsidRDefault="00D06050" w:rsidP="00D06050">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0"/>
        </w:rPr>
      </w:pPr>
    </w:p>
    <w:p w14:paraId="0D2C30B3" w14:textId="055CEE76" w:rsidR="005A348F" w:rsidRDefault="00D06050" w:rsidP="00D06050">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0"/>
        </w:rPr>
      </w:pPr>
      <w:r>
        <w:rPr>
          <w:rFonts w:ascii="Helvetica" w:hAnsi="Helvetica"/>
          <w:sz w:val="20"/>
          <w:szCs w:val="20"/>
        </w:rPr>
        <w:t>This study presents</w:t>
      </w:r>
      <w:r w:rsidR="005A348F" w:rsidRPr="00D06050">
        <w:rPr>
          <w:rFonts w:ascii="Helvetica" w:hAnsi="Helvetica"/>
          <w:sz w:val="20"/>
          <w:szCs w:val="20"/>
        </w:rPr>
        <w:t xml:space="preserve"> the results of immunological and parasitological analyses of healthy human volunteers enrolled as controls (</w:t>
      </w:r>
      <w:r>
        <w:rPr>
          <w:rFonts w:ascii="Helvetica" w:hAnsi="Helvetica"/>
          <w:sz w:val="20"/>
          <w:szCs w:val="20"/>
        </w:rPr>
        <w:t xml:space="preserve">i.e. </w:t>
      </w:r>
      <w:r w:rsidR="005A348F" w:rsidRPr="00D06050">
        <w:rPr>
          <w:rFonts w:ascii="Helvetica" w:hAnsi="Helvetica"/>
          <w:sz w:val="20"/>
          <w:szCs w:val="20"/>
        </w:rPr>
        <w:t xml:space="preserve">non-vaccinated) in a Phase I/IIa efficacy trial of the FMP2.1/AS01B </w:t>
      </w:r>
      <w:r>
        <w:rPr>
          <w:rFonts w:ascii="Helvetica" w:hAnsi="Helvetica"/>
          <w:sz w:val="20"/>
          <w:szCs w:val="20"/>
        </w:rPr>
        <w:t xml:space="preserve">malaria </w:t>
      </w:r>
      <w:r w:rsidR="005A348F" w:rsidRPr="00D06050">
        <w:rPr>
          <w:rFonts w:ascii="Helvetica" w:hAnsi="Helvetica"/>
          <w:sz w:val="20"/>
          <w:szCs w:val="20"/>
        </w:rPr>
        <w:t>vaccine</w:t>
      </w:r>
      <w:r w:rsidR="0040384A" w:rsidRPr="00D06050">
        <w:rPr>
          <w:rFonts w:ascii="Helvetica" w:hAnsi="Helvetica"/>
          <w:sz w:val="20"/>
          <w:szCs w:val="20"/>
        </w:rPr>
        <w:t>. The power calculations used to inform trial design</w:t>
      </w:r>
      <w:r>
        <w:rPr>
          <w:rFonts w:ascii="Helvetica" w:hAnsi="Helvetica"/>
          <w:sz w:val="20"/>
          <w:szCs w:val="20"/>
        </w:rPr>
        <w:t xml:space="preserve"> have been published previously (Payne </w:t>
      </w:r>
      <w:r w:rsidRPr="00D06050">
        <w:rPr>
          <w:rFonts w:ascii="Helvetica" w:hAnsi="Helvetica"/>
          <w:i/>
          <w:sz w:val="20"/>
          <w:szCs w:val="20"/>
        </w:rPr>
        <w:t>et al</w:t>
      </w:r>
      <w:r>
        <w:rPr>
          <w:rFonts w:ascii="Helvetica" w:hAnsi="Helvetica"/>
          <w:sz w:val="20"/>
          <w:szCs w:val="20"/>
        </w:rPr>
        <w:t>, 2016, PMID: 26908756)</w:t>
      </w:r>
      <w:r w:rsidR="0040384A" w:rsidRPr="00D06050">
        <w:rPr>
          <w:rFonts w:ascii="Helvetica" w:hAnsi="Helvetica"/>
          <w:sz w:val="20"/>
          <w:szCs w:val="20"/>
        </w:rPr>
        <w:t xml:space="preserve"> </w:t>
      </w:r>
      <w:r>
        <w:rPr>
          <w:rFonts w:ascii="Helvetica" w:hAnsi="Helvetica"/>
          <w:sz w:val="20"/>
          <w:szCs w:val="20"/>
        </w:rPr>
        <w:t xml:space="preserve">but </w:t>
      </w:r>
      <w:r w:rsidR="0040384A" w:rsidRPr="00D06050">
        <w:rPr>
          <w:rFonts w:ascii="Helvetica" w:hAnsi="Helvetica"/>
          <w:sz w:val="20"/>
          <w:szCs w:val="20"/>
        </w:rPr>
        <w:t xml:space="preserve">are </w:t>
      </w:r>
      <w:r>
        <w:rPr>
          <w:rFonts w:ascii="Helvetica" w:hAnsi="Helvetica"/>
          <w:sz w:val="20"/>
          <w:szCs w:val="20"/>
        </w:rPr>
        <w:t>copied</w:t>
      </w:r>
      <w:r w:rsidR="0040384A" w:rsidRPr="00D06050">
        <w:rPr>
          <w:rFonts w:ascii="Helvetica" w:hAnsi="Helvetica"/>
          <w:sz w:val="20"/>
          <w:szCs w:val="20"/>
        </w:rPr>
        <w:t xml:space="preserve"> below for ease of access:</w:t>
      </w:r>
    </w:p>
    <w:p w14:paraId="735509C2" w14:textId="77777777" w:rsidR="005A348F" w:rsidRPr="00D06050" w:rsidRDefault="005A348F" w:rsidP="00D06050">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0"/>
        </w:rPr>
      </w:pPr>
    </w:p>
    <w:p w14:paraId="019CA98D" w14:textId="5D8A208D" w:rsidR="005A348F" w:rsidRPr="00D06050" w:rsidRDefault="005A348F" w:rsidP="00D06050">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0"/>
        </w:rPr>
      </w:pPr>
      <w:r w:rsidRPr="00D06050">
        <w:rPr>
          <w:rFonts w:ascii="Helvetica" w:hAnsi="Helvetica" w:cs="Calibri"/>
          <w:sz w:val="20"/>
          <w:szCs w:val="20"/>
        </w:rPr>
        <w:t>Prior to undertaking the study, power calculations were performed by the Centre for Statistics in Medicine at the University of Oxford. Data were available from small studies undertaken with the same inoculum in Oxford, as well as at the Radboud University Nijmegen Medical Centre in the Netherlands. These historical data suggested the coefficient of variation (CV) in the controls may range from 22% (Nijmegen where mean PMR = 10) to 33% (Oxford where mean PMR = 12). A study design (where the maximum number of volunteers = 30) with 15 controls versus 15 vaccinees consistently provided the best power to observe a 33% reduction in mean PMR when allowing for this CV in the controls, and an increased CV in the vaccinees.</w:t>
      </w:r>
    </w:p>
    <w:p w14:paraId="722145C2" w14:textId="77777777" w:rsidR="005A348F" w:rsidRPr="00D06050" w:rsidRDefault="005A348F" w:rsidP="00D06050">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0"/>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D96FCA8" w14:textId="77777777" w:rsidR="00D06050" w:rsidRDefault="00D06050" w:rsidP="00B8487A">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rPr>
      </w:pPr>
    </w:p>
    <w:p w14:paraId="78102952" w14:textId="517678A8" w:rsidR="00B330BD" w:rsidRDefault="00D458B4" w:rsidP="00B8487A">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rPr>
      </w:pPr>
      <w:r w:rsidRPr="00D458B4">
        <w:rPr>
          <w:rFonts w:ascii="Helvetica" w:hAnsi="Helvetica"/>
          <w:sz w:val="20"/>
        </w:rPr>
        <w:t xml:space="preserve">Two </w:t>
      </w:r>
      <w:r>
        <w:rPr>
          <w:rFonts w:ascii="Helvetica" w:hAnsi="Helvetica"/>
          <w:sz w:val="20"/>
        </w:rPr>
        <w:t xml:space="preserve">independent </w:t>
      </w:r>
      <w:r w:rsidRPr="00D458B4">
        <w:rPr>
          <w:rFonts w:ascii="Helvetica" w:hAnsi="Helvetica"/>
          <w:sz w:val="20"/>
        </w:rPr>
        <w:t>clinical trials</w:t>
      </w:r>
      <w:r>
        <w:rPr>
          <w:rFonts w:ascii="Helvetica" w:hAnsi="Helvetica"/>
          <w:sz w:val="20"/>
        </w:rPr>
        <w:t xml:space="preserve"> (VAC054 and VAC065)</w:t>
      </w:r>
      <w:r w:rsidRPr="00D458B4">
        <w:rPr>
          <w:rFonts w:ascii="Helvetica" w:hAnsi="Helvetica"/>
          <w:sz w:val="20"/>
        </w:rPr>
        <w:t xml:space="preserve"> were undertaken to </w:t>
      </w:r>
      <w:r>
        <w:rPr>
          <w:rFonts w:ascii="Helvetica" w:hAnsi="Helvetica"/>
          <w:sz w:val="20"/>
        </w:rPr>
        <w:t>examine</w:t>
      </w:r>
      <w:r w:rsidRPr="00D458B4">
        <w:rPr>
          <w:rFonts w:ascii="Helvetica" w:hAnsi="Helvetica"/>
          <w:sz w:val="20"/>
        </w:rPr>
        <w:t xml:space="preserve"> </w:t>
      </w:r>
      <w:r>
        <w:rPr>
          <w:rFonts w:ascii="Helvetica" w:hAnsi="Helvetica"/>
          <w:sz w:val="20"/>
        </w:rPr>
        <w:t>the host res</w:t>
      </w:r>
      <w:r w:rsidRPr="00D458B4">
        <w:rPr>
          <w:rFonts w:ascii="Helvetica" w:hAnsi="Helvetica"/>
          <w:sz w:val="20"/>
        </w:rPr>
        <w:t xml:space="preserve">ponse to falciparum malaria, and the switching and selection of </w:t>
      </w:r>
      <w:r>
        <w:rPr>
          <w:rFonts w:ascii="Helvetica" w:hAnsi="Helvetica"/>
          <w:sz w:val="20"/>
        </w:rPr>
        <w:t xml:space="preserve">parasite </w:t>
      </w:r>
      <w:r w:rsidRPr="00D458B4">
        <w:rPr>
          <w:rFonts w:ascii="Helvetica" w:hAnsi="Helvetica"/>
          <w:sz w:val="20"/>
        </w:rPr>
        <w:t>variant surface antigens.</w:t>
      </w:r>
      <w:r w:rsidR="00B8487A">
        <w:rPr>
          <w:rFonts w:ascii="Helvetica" w:hAnsi="Helvetica"/>
          <w:sz w:val="20"/>
        </w:rPr>
        <w:t xml:space="preserve"> Details of each trial are provided in the Methods (see 'Study participants and ethical approval' and 'Controlled human malaria infection' and 'Monitoring volunteers') and in </w:t>
      </w:r>
      <w:r w:rsidR="00172538">
        <w:rPr>
          <w:rFonts w:ascii="Helvetica" w:hAnsi="Helvetica"/>
          <w:sz w:val="20"/>
        </w:rPr>
        <w:t>Supplementary File 1</w:t>
      </w:r>
      <w:r w:rsidR="00B8487A">
        <w:rPr>
          <w:rFonts w:ascii="Helvetica" w:hAnsi="Helvetica"/>
          <w:sz w:val="20"/>
        </w:rPr>
        <w:t xml:space="preserve">. Furthermore, direct links to ClinicalTrials.gov are provided </w:t>
      </w:r>
      <w:r w:rsidR="00DB1794">
        <w:rPr>
          <w:rFonts w:ascii="Helvetica" w:hAnsi="Helvetica"/>
          <w:sz w:val="20"/>
        </w:rPr>
        <w:t xml:space="preserve">in the Methods </w:t>
      </w:r>
      <w:r w:rsidR="00B8487A">
        <w:rPr>
          <w:rFonts w:ascii="Helvetica" w:hAnsi="Helvetica"/>
          <w:sz w:val="20"/>
        </w:rPr>
        <w:t>for each trial - this allows the reader to look up all details relating to trial design.</w:t>
      </w:r>
    </w:p>
    <w:p w14:paraId="3E76EDBB" w14:textId="77777777" w:rsidR="00B8487A" w:rsidRDefault="00B8487A" w:rsidP="00B8487A">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rPr>
      </w:pPr>
    </w:p>
    <w:p w14:paraId="74A49248" w14:textId="6439A6F3" w:rsidR="00D458B4" w:rsidRDefault="00D458B4" w:rsidP="00B8487A">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rPr>
      </w:pPr>
      <w:r>
        <w:rPr>
          <w:rFonts w:ascii="Helvetica" w:hAnsi="Helvetica"/>
          <w:sz w:val="20"/>
        </w:rPr>
        <w:t xml:space="preserve">To quantify parasite gene expression in the inoculum used for blood challenge (VAC054) two technical replicates of a single biological sample were analysed. These were </w:t>
      </w:r>
      <w:r w:rsidR="00B8487A">
        <w:rPr>
          <w:rFonts w:ascii="Helvetica" w:hAnsi="Helvetica"/>
          <w:sz w:val="20"/>
        </w:rPr>
        <w:t>handled independently</w:t>
      </w:r>
      <w:r>
        <w:rPr>
          <w:rFonts w:ascii="Helvetica" w:hAnsi="Helvetica"/>
          <w:sz w:val="20"/>
        </w:rPr>
        <w:t xml:space="preserve"> all the way </w:t>
      </w:r>
      <w:r w:rsidR="00B8487A">
        <w:rPr>
          <w:rFonts w:ascii="Helvetica" w:hAnsi="Helvetica"/>
          <w:sz w:val="20"/>
        </w:rPr>
        <w:t>from</w:t>
      </w:r>
      <w:r>
        <w:rPr>
          <w:rFonts w:ascii="Helvetica" w:hAnsi="Helvetica"/>
          <w:sz w:val="20"/>
        </w:rPr>
        <w:t xml:space="preserve"> </w:t>
      </w:r>
      <w:r w:rsidR="00B8487A">
        <w:rPr>
          <w:rFonts w:ascii="Helvetica" w:hAnsi="Helvetica"/>
          <w:sz w:val="20"/>
        </w:rPr>
        <w:t>RNA extraction and clean-up to</w:t>
      </w:r>
      <w:r>
        <w:rPr>
          <w:rFonts w:ascii="Helvetica" w:hAnsi="Helvetica"/>
          <w:sz w:val="20"/>
        </w:rPr>
        <w:t xml:space="preserve"> li</w:t>
      </w:r>
      <w:r w:rsidR="00B8487A">
        <w:rPr>
          <w:rFonts w:ascii="Helvetica" w:hAnsi="Helvetica"/>
          <w:sz w:val="20"/>
        </w:rPr>
        <w:t>brary preparation and barcoding to</w:t>
      </w:r>
      <w:r>
        <w:rPr>
          <w:rFonts w:ascii="Helvetica" w:hAnsi="Helvetica"/>
          <w:sz w:val="20"/>
        </w:rPr>
        <w:t xml:space="preserve"> sequencing and data analysis.</w:t>
      </w:r>
      <w:r w:rsidR="00B8487A">
        <w:rPr>
          <w:rFonts w:ascii="Helvetica" w:hAnsi="Helvetica"/>
          <w:sz w:val="20"/>
        </w:rPr>
        <w:t xml:space="preserve"> Details are provided in the Methods (see 'Isolation of parasites for </w:t>
      </w:r>
      <w:r w:rsidR="00B8487A" w:rsidRPr="00B8487A">
        <w:rPr>
          <w:rFonts w:ascii="Helvetica" w:hAnsi="Helvetica"/>
          <w:i/>
          <w:sz w:val="20"/>
        </w:rPr>
        <w:t>ex vivo</w:t>
      </w:r>
      <w:r w:rsidR="0071559E">
        <w:rPr>
          <w:rFonts w:ascii="Helvetica" w:hAnsi="Helvetica"/>
          <w:sz w:val="20"/>
        </w:rPr>
        <w:t xml:space="preserve"> RNA-</w:t>
      </w:r>
      <w:r w:rsidR="00DB1794">
        <w:rPr>
          <w:rFonts w:ascii="Helvetica" w:hAnsi="Helvetica"/>
          <w:sz w:val="20"/>
        </w:rPr>
        <w:t xml:space="preserve">sequencing') and Figure </w:t>
      </w:r>
      <w:r w:rsidR="003D748A">
        <w:rPr>
          <w:rFonts w:ascii="Helvetica" w:hAnsi="Helvetica"/>
          <w:sz w:val="20"/>
        </w:rPr>
        <w:t>L</w:t>
      </w:r>
      <w:r w:rsidR="00DB1794">
        <w:rPr>
          <w:rFonts w:ascii="Helvetica" w:hAnsi="Helvetica"/>
          <w:sz w:val="20"/>
        </w:rPr>
        <w:t>egends.</w:t>
      </w:r>
    </w:p>
    <w:p w14:paraId="354B778B" w14:textId="77777777" w:rsidR="00B8487A" w:rsidRDefault="00B8487A" w:rsidP="00B8487A">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rPr>
      </w:pPr>
    </w:p>
    <w:p w14:paraId="757ADDB3" w14:textId="1E04BE62" w:rsidR="00B8487A" w:rsidRDefault="0071559E" w:rsidP="00B8487A">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rPr>
      </w:pPr>
      <w:r>
        <w:rPr>
          <w:rFonts w:ascii="Helvetica" w:hAnsi="Helvetica"/>
          <w:sz w:val="20"/>
        </w:rPr>
        <w:t xml:space="preserve">To analyse the response of each volunteer </w:t>
      </w:r>
      <w:r w:rsidRPr="00DB1794">
        <w:rPr>
          <w:rFonts w:ascii="Helvetica" w:hAnsi="Helvetica"/>
          <w:sz w:val="20"/>
          <w:u w:val="single"/>
        </w:rPr>
        <w:t>inde</w:t>
      </w:r>
      <w:r>
        <w:rPr>
          <w:rFonts w:ascii="Helvetica" w:hAnsi="Helvetica"/>
          <w:sz w:val="20"/>
        </w:rPr>
        <w:t>p</w:t>
      </w:r>
      <w:r w:rsidRPr="00DB1794">
        <w:rPr>
          <w:rFonts w:ascii="Helvetica" w:hAnsi="Helvetica"/>
          <w:sz w:val="20"/>
          <w:u w:val="single"/>
        </w:rPr>
        <w:t>endentl</w:t>
      </w:r>
      <w:r w:rsidR="00E47162">
        <w:rPr>
          <w:rFonts w:ascii="Helvetica" w:hAnsi="Helvetica"/>
          <w:sz w:val="20"/>
        </w:rPr>
        <w:t>y time-course analyse</w:t>
      </w:r>
      <w:r>
        <w:rPr>
          <w:rFonts w:ascii="Helvetica" w:hAnsi="Helvetica"/>
          <w:sz w:val="20"/>
        </w:rPr>
        <w:t xml:space="preserve">s of </w:t>
      </w:r>
      <w:r w:rsidR="00D458B4">
        <w:rPr>
          <w:rFonts w:ascii="Helvetica" w:hAnsi="Helvetica"/>
          <w:sz w:val="20"/>
        </w:rPr>
        <w:t xml:space="preserve">parasite densities, </w:t>
      </w:r>
      <w:r>
        <w:rPr>
          <w:rFonts w:ascii="Helvetica" w:hAnsi="Helvetica"/>
          <w:sz w:val="20"/>
        </w:rPr>
        <w:t>symptomatology</w:t>
      </w:r>
      <w:r w:rsidR="00D458B4">
        <w:rPr>
          <w:rFonts w:ascii="Helvetica" w:hAnsi="Helvetica"/>
          <w:sz w:val="20"/>
        </w:rPr>
        <w:t>, plasma proteins</w:t>
      </w:r>
      <w:r>
        <w:rPr>
          <w:rFonts w:ascii="Helvetica" w:hAnsi="Helvetica"/>
          <w:sz w:val="20"/>
        </w:rPr>
        <w:t xml:space="preserve"> </w:t>
      </w:r>
      <w:r w:rsidR="00D458B4">
        <w:rPr>
          <w:rFonts w:ascii="Helvetica" w:hAnsi="Helvetica"/>
          <w:sz w:val="20"/>
        </w:rPr>
        <w:t xml:space="preserve">and whole blood RNA </w:t>
      </w:r>
      <w:r>
        <w:rPr>
          <w:rFonts w:ascii="Helvetica" w:hAnsi="Helvetica"/>
          <w:sz w:val="20"/>
        </w:rPr>
        <w:t xml:space="preserve">were measured through time. Power was therefore provided by performing repeat measurements. Details of the number of samples/time-points are provided in the Methods and the Figure </w:t>
      </w:r>
      <w:r w:rsidR="00D803EB">
        <w:rPr>
          <w:rFonts w:ascii="Helvetica" w:hAnsi="Helvetica"/>
          <w:sz w:val="20"/>
        </w:rPr>
        <w:t>L</w:t>
      </w:r>
      <w:r>
        <w:rPr>
          <w:rFonts w:ascii="Helvetica" w:hAnsi="Helvetica"/>
          <w:sz w:val="20"/>
        </w:rPr>
        <w:t xml:space="preserve">egends. </w:t>
      </w:r>
      <w:r w:rsidR="00B8487A">
        <w:rPr>
          <w:rFonts w:ascii="Helvetica" w:hAnsi="Helvetica"/>
          <w:sz w:val="20"/>
        </w:rPr>
        <w:t xml:space="preserve">As we were interested in identifying individuals whose response could be considered an </w:t>
      </w:r>
      <w:r>
        <w:rPr>
          <w:rFonts w:ascii="Helvetica" w:hAnsi="Helvetica"/>
          <w:sz w:val="20"/>
        </w:rPr>
        <w:t>"outlier" (this was a key obj</w:t>
      </w:r>
      <w:r w:rsidR="00172538">
        <w:rPr>
          <w:rFonts w:ascii="Helvetica" w:hAnsi="Helvetica"/>
          <w:sz w:val="20"/>
        </w:rPr>
        <w:t>ective of the study) no data were</w:t>
      </w:r>
      <w:r>
        <w:rPr>
          <w:rFonts w:ascii="Helvetica" w:hAnsi="Helvetica"/>
          <w:sz w:val="20"/>
        </w:rPr>
        <w:t xml:space="preserve"> excluded during analysis</w:t>
      </w:r>
      <w:r w:rsidR="00B8487A">
        <w:rPr>
          <w:rFonts w:ascii="Helvetica" w:hAnsi="Helvetica"/>
          <w:sz w:val="20"/>
        </w:rPr>
        <w:t>.</w:t>
      </w:r>
      <w:r>
        <w:rPr>
          <w:rFonts w:ascii="Helvetica" w:hAnsi="Helvetica"/>
          <w:sz w:val="20"/>
        </w:rPr>
        <w:t xml:space="preserve"> However, it was not always possible to </w:t>
      </w:r>
      <w:r w:rsidR="00172538">
        <w:rPr>
          <w:rFonts w:ascii="Helvetica" w:hAnsi="Helvetica"/>
          <w:sz w:val="20"/>
        </w:rPr>
        <w:t>successfully</w:t>
      </w:r>
      <w:r>
        <w:rPr>
          <w:rFonts w:ascii="Helvetica" w:hAnsi="Helvetica"/>
          <w:sz w:val="20"/>
        </w:rPr>
        <w:t xml:space="preserve"> generate data for every volunteer (e.g. parasite </w:t>
      </w:r>
      <w:r w:rsidR="00172538">
        <w:rPr>
          <w:rFonts w:ascii="Helvetica" w:hAnsi="Helvetica"/>
          <w:sz w:val="20"/>
        </w:rPr>
        <w:t>RNA-sequencing) and i</w:t>
      </w:r>
      <w:r>
        <w:rPr>
          <w:rFonts w:ascii="Helvetica" w:hAnsi="Helvetica"/>
          <w:sz w:val="20"/>
        </w:rPr>
        <w:t xml:space="preserve">n all of these cases, we specify the volunteers for whom data was successfully </w:t>
      </w:r>
      <w:r w:rsidR="00E47162">
        <w:rPr>
          <w:rFonts w:ascii="Helvetica" w:hAnsi="Helvetica"/>
          <w:sz w:val="20"/>
        </w:rPr>
        <w:t>generated</w:t>
      </w:r>
      <w:r>
        <w:rPr>
          <w:rFonts w:ascii="Helvetica" w:hAnsi="Helvetica"/>
          <w:sz w:val="20"/>
        </w:rPr>
        <w:t xml:space="preserve"> and details are provided throughout the Results, Methods and Figure </w:t>
      </w:r>
      <w:r w:rsidR="00D803EB">
        <w:rPr>
          <w:rFonts w:ascii="Helvetica" w:hAnsi="Helvetica"/>
          <w:sz w:val="20"/>
        </w:rPr>
        <w:t>L</w:t>
      </w:r>
      <w:r>
        <w:rPr>
          <w:rFonts w:ascii="Helvetica" w:hAnsi="Helvetica"/>
          <w:sz w:val="20"/>
        </w:rPr>
        <w:t>egends.</w:t>
      </w:r>
    </w:p>
    <w:p w14:paraId="613DC20E" w14:textId="77777777" w:rsidR="00B8487A" w:rsidRDefault="00B8487A" w:rsidP="00B8487A">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rPr>
      </w:pPr>
    </w:p>
    <w:p w14:paraId="64A27D94" w14:textId="57A74755" w:rsidR="0071559E" w:rsidRDefault="0071559E" w:rsidP="00DB1794">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0"/>
        </w:rPr>
      </w:pPr>
      <w:r w:rsidRPr="00DB1794">
        <w:rPr>
          <w:rFonts w:ascii="Helvetica" w:hAnsi="Helvetica"/>
          <w:sz w:val="20"/>
        </w:rPr>
        <w:t xml:space="preserve">All </w:t>
      </w:r>
      <w:r w:rsidR="001301E0" w:rsidRPr="00DB1794">
        <w:rPr>
          <w:rFonts w:ascii="Helvetica" w:hAnsi="Helvetica"/>
          <w:sz w:val="20"/>
        </w:rPr>
        <w:t>RNA-</w:t>
      </w:r>
      <w:r w:rsidR="001301E0" w:rsidRPr="00DB1794">
        <w:rPr>
          <w:rFonts w:ascii="Helvetica" w:hAnsi="Helvetica"/>
          <w:sz w:val="20"/>
          <w:szCs w:val="20"/>
        </w:rPr>
        <w:t xml:space="preserve">seq / microarray </w:t>
      </w:r>
      <w:r w:rsidRPr="00DB1794">
        <w:rPr>
          <w:rFonts w:ascii="Helvetica" w:hAnsi="Helvetica"/>
          <w:sz w:val="20"/>
          <w:szCs w:val="20"/>
        </w:rPr>
        <w:t>d</w:t>
      </w:r>
      <w:r w:rsidR="00B8487A" w:rsidRPr="00DB1794">
        <w:rPr>
          <w:rFonts w:ascii="Helvetica" w:hAnsi="Helvetica"/>
          <w:sz w:val="20"/>
          <w:szCs w:val="20"/>
        </w:rPr>
        <w:t>atasets</w:t>
      </w:r>
      <w:r w:rsidRPr="00DB1794">
        <w:rPr>
          <w:rFonts w:ascii="Helvetica" w:hAnsi="Helvetica"/>
          <w:sz w:val="20"/>
          <w:szCs w:val="20"/>
        </w:rPr>
        <w:t xml:space="preserve"> are published and</w:t>
      </w:r>
      <w:r w:rsidR="00B8487A" w:rsidRPr="00DB1794">
        <w:rPr>
          <w:rFonts w:ascii="Helvetica" w:hAnsi="Helvetica"/>
          <w:sz w:val="20"/>
          <w:szCs w:val="20"/>
        </w:rPr>
        <w:t xml:space="preserve"> can be accessed here:</w:t>
      </w:r>
    </w:p>
    <w:p w14:paraId="6ABBC20D" w14:textId="77777777" w:rsidR="00DB1794" w:rsidRPr="00DB1794" w:rsidRDefault="00DB1794" w:rsidP="00DB1794">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0"/>
        </w:rPr>
      </w:pPr>
    </w:p>
    <w:p w14:paraId="09DC7D33" w14:textId="77777777" w:rsidR="00DB1794" w:rsidRPr="00DB1794" w:rsidRDefault="00B939E0" w:rsidP="00DB1794">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eastAsia="Times New Roman" w:hAnsi="Helvetica"/>
          <w:sz w:val="20"/>
          <w:szCs w:val="20"/>
        </w:rPr>
      </w:pPr>
      <w:hyperlink r:id="rId12" w:history="1">
        <w:r w:rsidR="00DB1794" w:rsidRPr="00DB1794">
          <w:rPr>
            <w:rStyle w:val="Hyperlink"/>
            <w:rFonts w:ascii="Helvetica" w:eastAsia="Times New Roman" w:hAnsi="Helvetica"/>
            <w:color w:val="auto"/>
            <w:sz w:val="20"/>
            <w:szCs w:val="20"/>
          </w:rPr>
          <w:t>https://www.ncbi.nlm.nih.gov/geo/query/acc.cgi?acc=GSE132050</w:t>
        </w:r>
      </w:hyperlink>
    </w:p>
    <w:p w14:paraId="143BFDB9" w14:textId="0BC2AFC8" w:rsidR="001301E0" w:rsidRPr="00DB1794" w:rsidRDefault="00B939E0" w:rsidP="00DB1794">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eastAsia="Times New Roman" w:hAnsi="Helvetica"/>
          <w:sz w:val="20"/>
          <w:szCs w:val="20"/>
        </w:rPr>
      </w:pPr>
      <w:hyperlink r:id="rId13" w:history="1">
        <w:r w:rsidR="001301E0" w:rsidRPr="00DB1794">
          <w:rPr>
            <w:rStyle w:val="Hyperlink"/>
            <w:rFonts w:ascii="Helvetica" w:eastAsia="Times New Roman" w:hAnsi="Helvetica"/>
            <w:color w:val="auto"/>
            <w:sz w:val="20"/>
            <w:szCs w:val="20"/>
          </w:rPr>
          <w:t>https://www.ebi.ac.uk/ena/browser/view/ERP116360</w:t>
        </w:r>
      </w:hyperlink>
    </w:p>
    <w:p w14:paraId="48B8745A" w14:textId="33B6ED84" w:rsidR="0071559E" w:rsidRPr="00DB1794" w:rsidRDefault="00B939E0" w:rsidP="00DB1794">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eastAsia="Times New Roman" w:hAnsi="Helvetica"/>
          <w:sz w:val="20"/>
          <w:szCs w:val="20"/>
        </w:rPr>
      </w:pPr>
      <w:hyperlink r:id="rId14" w:history="1">
        <w:r w:rsidR="001301E0" w:rsidRPr="00DB1794">
          <w:rPr>
            <w:rStyle w:val="Hyperlink"/>
            <w:rFonts w:ascii="Helvetica" w:eastAsia="Times New Roman" w:hAnsi="Helvetica"/>
            <w:color w:val="auto"/>
            <w:sz w:val="20"/>
            <w:szCs w:val="20"/>
          </w:rPr>
          <w:t>https://www.ebi.ac.uk/ega/studies/EGAS00001003766</w:t>
        </w:r>
      </w:hyperlink>
    </w:p>
    <w:p w14:paraId="47686BC2" w14:textId="77777777" w:rsidR="00DB1794" w:rsidRPr="00DB1794" w:rsidRDefault="00DB1794" w:rsidP="00DB1794">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rPr>
          <w:rFonts w:ascii="Helvetica" w:eastAsia="Times New Roman" w:hAnsi="Helvetica"/>
          <w:sz w:val="20"/>
          <w:szCs w:val="20"/>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3CF388B" w14:textId="77777777" w:rsidR="00351FE9" w:rsidRDefault="00351FE9" w:rsidP="002F1E90">
      <w:pPr>
        <w:framePr w:w="7817" w:h="1088" w:hSpace="180" w:wrap="around" w:vAnchor="text" w:hAnchor="page" w:x="1904" w:y="2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2"/>
        </w:rPr>
      </w:pPr>
    </w:p>
    <w:p w14:paraId="7C65314E" w14:textId="109A494F" w:rsidR="00E47162" w:rsidRDefault="002F1E90" w:rsidP="002F1E90">
      <w:pPr>
        <w:framePr w:w="7817" w:h="1088" w:hSpace="180" w:wrap="around" w:vAnchor="text" w:hAnchor="page" w:x="1904" w:y="2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2"/>
        </w:rPr>
      </w:pPr>
      <w:r w:rsidRPr="002F1E90">
        <w:rPr>
          <w:rFonts w:ascii="Helvetica" w:hAnsi="Helvetica"/>
          <w:sz w:val="20"/>
          <w:szCs w:val="22"/>
        </w:rPr>
        <w:t xml:space="preserve">All statistical tests carried out to support the conclusions of this study (whether significant or not significant) are detailed throughout the Results, Figure </w:t>
      </w:r>
      <w:r w:rsidR="00D803EB">
        <w:rPr>
          <w:rFonts w:ascii="Helvetica" w:hAnsi="Helvetica"/>
          <w:sz w:val="20"/>
          <w:szCs w:val="22"/>
        </w:rPr>
        <w:t>L</w:t>
      </w:r>
      <w:r w:rsidRPr="002F1E90">
        <w:rPr>
          <w:rFonts w:ascii="Helvetica" w:hAnsi="Helvetica"/>
          <w:sz w:val="20"/>
          <w:szCs w:val="22"/>
        </w:rPr>
        <w:t>egends and Methods.</w:t>
      </w:r>
      <w:r w:rsidR="00FB3C76">
        <w:rPr>
          <w:rFonts w:ascii="Helvetica" w:hAnsi="Helvetica"/>
          <w:sz w:val="20"/>
          <w:szCs w:val="22"/>
        </w:rPr>
        <w:t xml:space="preserve"> </w:t>
      </w:r>
      <w:r>
        <w:rPr>
          <w:rFonts w:ascii="Helvetica" w:hAnsi="Helvetica"/>
          <w:sz w:val="20"/>
          <w:szCs w:val="22"/>
        </w:rPr>
        <w:t xml:space="preserve">As </w:t>
      </w:r>
      <w:r w:rsidR="00FB3C76">
        <w:rPr>
          <w:rFonts w:ascii="Helvetica" w:hAnsi="Helvetica"/>
          <w:sz w:val="20"/>
          <w:szCs w:val="22"/>
        </w:rPr>
        <w:t xml:space="preserve">the objective of this study was to </w:t>
      </w:r>
      <w:r w:rsidR="00FB3C76">
        <w:rPr>
          <w:rFonts w:ascii="Helvetica" w:hAnsi="Helvetica"/>
          <w:sz w:val="20"/>
        </w:rPr>
        <w:t xml:space="preserve">analyse the response of each volunteer </w:t>
      </w:r>
      <w:r w:rsidR="00FB3C76" w:rsidRPr="00DB1794">
        <w:rPr>
          <w:rFonts w:ascii="Helvetica" w:hAnsi="Helvetica"/>
          <w:sz w:val="20"/>
          <w:u w:val="single"/>
        </w:rPr>
        <w:t>inde</w:t>
      </w:r>
      <w:r w:rsidR="00FB3C76">
        <w:rPr>
          <w:rFonts w:ascii="Helvetica" w:hAnsi="Helvetica"/>
          <w:sz w:val="20"/>
        </w:rPr>
        <w:t>p</w:t>
      </w:r>
      <w:r w:rsidR="00FB3C76" w:rsidRPr="00DB1794">
        <w:rPr>
          <w:rFonts w:ascii="Helvetica" w:hAnsi="Helvetica"/>
          <w:sz w:val="20"/>
          <w:u w:val="single"/>
        </w:rPr>
        <w:t>endentl</w:t>
      </w:r>
      <w:r w:rsidR="00FB3C76">
        <w:rPr>
          <w:rFonts w:ascii="Helvetica" w:hAnsi="Helvetica"/>
          <w:sz w:val="20"/>
        </w:rPr>
        <w:t xml:space="preserve">y </w:t>
      </w:r>
      <w:r w:rsidR="00FB3C76">
        <w:rPr>
          <w:rFonts w:ascii="Helvetica" w:hAnsi="Helvetica"/>
          <w:sz w:val="20"/>
          <w:szCs w:val="22"/>
        </w:rPr>
        <w:t xml:space="preserve">we show </w:t>
      </w:r>
      <w:r w:rsidR="00A53C83">
        <w:rPr>
          <w:rFonts w:ascii="Helvetica" w:hAnsi="Helvetica"/>
          <w:sz w:val="20"/>
          <w:szCs w:val="22"/>
        </w:rPr>
        <w:t xml:space="preserve">the data for </w:t>
      </w:r>
      <w:r w:rsidR="00FB3C76">
        <w:rPr>
          <w:rFonts w:ascii="Helvetica" w:hAnsi="Helvetica"/>
          <w:sz w:val="20"/>
          <w:szCs w:val="22"/>
        </w:rPr>
        <w:t xml:space="preserve">each individual volunteer and sample/time-point in </w:t>
      </w:r>
      <w:r w:rsidR="00A53C83">
        <w:rPr>
          <w:rFonts w:ascii="Helvetica" w:hAnsi="Helvetica"/>
          <w:sz w:val="20"/>
          <w:szCs w:val="22"/>
        </w:rPr>
        <w:t>all Figures</w:t>
      </w:r>
      <w:r w:rsidR="00FB3C76">
        <w:rPr>
          <w:rFonts w:ascii="Helvetica" w:hAnsi="Helvetica"/>
          <w:sz w:val="20"/>
          <w:szCs w:val="22"/>
        </w:rPr>
        <w:t>.</w:t>
      </w:r>
      <w:r w:rsidR="00E47162">
        <w:rPr>
          <w:rFonts w:ascii="Helvetica" w:hAnsi="Helvetica"/>
          <w:sz w:val="20"/>
          <w:szCs w:val="22"/>
        </w:rPr>
        <w:t xml:space="preserve"> The raw data that underpin heatmaps (microarray and RNA-sequencing) are included as </w:t>
      </w:r>
      <w:r w:rsidR="00DE6486">
        <w:rPr>
          <w:rFonts w:ascii="Helvetica" w:hAnsi="Helvetica"/>
          <w:sz w:val="20"/>
          <w:szCs w:val="22"/>
        </w:rPr>
        <w:t>source data for Figures 1 and 4</w:t>
      </w:r>
      <w:r w:rsidR="00E47162">
        <w:rPr>
          <w:rFonts w:ascii="Helvetica" w:hAnsi="Helvetica"/>
          <w:sz w:val="20"/>
          <w:szCs w:val="22"/>
        </w:rPr>
        <w:t>, respectively.</w:t>
      </w:r>
    </w:p>
    <w:p w14:paraId="1A58491A" w14:textId="77777777" w:rsidR="00A53C83" w:rsidRDefault="00A53C83" w:rsidP="002F1E90">
      <w:pPr>
        <w:framePr w:w="7817" w:h="1088" w:hSpace="180" w:wrap="around" w:vAnchor="text" w:hAnchor="page" w:x="1904" w:y="2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2"/>
        </w:rPr>
      </w:pPr>
    </w:p>
    <w:p w14:paraId="407DF200" w14:textId="09FB1ED7" w:rsidR="00FB3C76" w:rsidRDefault="00FB3C76" w:rsidP="002F1E90">
      <w:pPr>
        <w:framePr w:w="7817" w:h="1088" w:hSpace="180" w:wrap="around" w:vAnchor="text" w:hAnchor="page" w:x="1904" w:y="2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2"/>
        </w:rPr>
      </w:pPr>
      <w:r>
        <w:rPr>
          <w:rFonts w:ascii="Helvetica" w:hAnsi="Helvetica"/>
          <w:sz w:val="20"/>
          <w:szCs w:val="22"/>
        </w:rPr>
        <w:t xml:space="preserve">Details of the methodology used to call differentially expressed genes (microarray and RNA-sequencing) and differentially abundant metabolites (metabolomics) are provided in the Methods and Results. We also specify the sample number (N) for each pairwise comparison, the method used to adjust for multiple testing and the adjusted p value that we considered significant. Many of these details are also given in the Figure </w:t>
      </w:r>
      <w:r w:rsidR="00D803EB">
        <w:rPr>
          <w:rFonts w:ascii="Helvetica" w:hAnsi="Helvetica"/>
          <w:sz w:val="20"/>
          <w:szCs w:val="22"/>
        </w:rPr>
        <w:t>L</w:t>
      </w:r>
      <w:r>
        <w:rPr>
          <w:rFonts w:ascii="Helvetica" w:hAnsi="Helvetica"/>
          <w:sz w:val="20"/>
          <w:szCs w:val="22"/>
        </w:rPr>
        <w:t>egends, where appropriate. Note that we</w:t>
      </w:r>
      <w:r w:rsidR="00A53C83">
        <w:rPr>
          <w:rFonts w:ascii="Helvetica" w:hAnsi="Helvetica"/>
          <w:sz w:val="20"/>
          <w:szCs w:val="22"/>
        </w:rPr>
        <w:t xml:space="preserve"> also</w:t>
      </w:r>
      <w:r>
        <w:rPr>
          <w:rFonts w:ascii="Helvetica" w:hAnsi="Helvetica"/>
          <w:sz w:val="20"/>
          <w:szCs w:val="22"/>
        </w:rPr>
        <w:t xml:space="preserve"> report on differential gene expression analyses that yielded no significant </w:t>
      </w:r>
      <w:r w:rsidR="00A53C83">
        <w:rPr>
          <w:rFonts w:ascii="Helvetica" w:hAnsi="Helvetica"/>
          <w:sz w:val="20"/>
          <w:szCs w:val="22"/>
        </w:rPr>
        <w:t>hits</w:t>
      </w:r>
      <w:r>
        <w:rPr>
          <w:rFonts w:ascii="Helvetica" w:hAnsi="Helvetica"/>
          <w:sz w:val="20"/>
          <w:szCs w:val="22"/>
        </w:rPr>
        <w:t xml:space="preserve"> and these are </w:t>
      </w:r>
      <w:r w:rsidR="00A53C83">
        <w:rPr>
          <w:rFonts w:ascii="Helvetica" w:hAnsi="Helvetica"/>
          <w:sz w:val="20"/>
          <w:szCs w:val="22"/>
        </w:rPr>
        <w:t>described</w:t>
      </w:r>
      <w:r>
        <w:rPr>
          <w:rFonts w:ascii="Helvetica" w:hAnsi="Helvetica"/>
          <w:sz w:val="20"/>
          <w:szCs w:val="22"/>
        </w:rPr>
        <w:t xml:space="preserve"> in the Results.</w:t>
      </w:r>
      <w:r w:rsidR="00A53C83">
        <w:rPr>
          <w:rFonts w:ascii="Helvetica" w:hAnsi="Helvetica"/>
          <w:sz w:val="20"/>
          <w:szCs w:val="22"/>
        </w:rPr>
        <w:t xml:space="preserve"> Summary statistics of the microarray dataset are provided in </w:t>
      </w:r>
      <w:r w:rsidR="00A53C83">
        <w:rPr>
          <w:rFonts w:ascii="Helvetica" w:hAnsi="Helvetica"/>
          <w:sz w:val="20"/>
        </w:rPr>
        <w:t>Supplementary File 2 and details of these stats are given in the legend.</w:t>
      </w:r>
    </w:p>
    <w:p w14:paraId="3E6CA176" w14:textId="77777777" w:rsidR="00A53C83" w:rsidRDefault="00A53C83" w:rsidP="002F1E90">
      <w:pPr>
        <w:framePr w:w="7817" w:h="1088" w:hSpace="180" w:wrap="around" w:vAnchor="text" w:hAnchor="page" w:x="1904" w:y="2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2"/>
        </w:rPr>
      </w:pPr>
    </w:p>
    <w:p w14:paraId="687AFCA3" w14:textId="65BACB20" w:rsidR="00A53C83" w:rsidRDefault="00A53C83" w:rsidP="002F1E90">
      <w:pPr>
        <w:framePr w:w="7817" w:h="1088" w:hSpace="180" w:wrap="around" w:vAnchor="text" w:hAnchor="page" w:x="1904" w:y="2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2"/>
        </w:rPr>
      </w:pPr>
      <w:r>
        <w:rPr>
          <w:rFonts w:ascii="Helvetica" w:hAnsi="Helvetica"/>
          <w:sz w:val="20"/>
          <w:szCs w:val="22"/>
        </w:rPr>
        <w:t xml:space="preserve">For all other data types (e.g. symptomatology, parasite multiplication rate, blood counts etc.) we provide the statistical method used to assess significance, the number of volunteers and/or datapoints, the exact p value, and the 95% confidence intervals (where appropriate). We also include information on median and range when we feel that this additonal information will help the reader assess the significance of a finding. All of these details are given throughout the Results, Figure </w:t>
      </w:r>
      <w:r w:rsidR="00D803EB">
        <w:rPr>
          <w:rFonts w:ascii="Helvetica" w:hAnsi="Helvetica"/>
          <w:sz w:val="20"/>
          <w:szCs w:val="22"/>
        </w:rPr>
        <w:t>L</w:t>
      </w:r>
      <w:r>
        <w:rPr>
          <w:rFonts w:ascii="Helvetica" w:hAnsi="Helvetica"/>
          <w:sz w:val="20"/>
          <w:szCs w:val="22"/>
        </w:rPr>
        <w:t>egends and Methods</w:t>
      </w:r>
      <w:r w:rsidR="00E47162">
        <w:rPr>
          <w:rFonts w:ascii="Helvetica" w:hAnsi="Helvetica"/>
          <w:sz w:val="20"/>
          <w:szCs w:val="22"/>
        </w:rPr>
        <w:t>.</w:t>
      </w:r>
    </w:p>
    <w:p w14:paraId="209E588E" w14:textId="77777777" w:rsidR="002F1E90" w:rsidRPr="002F1E90" w:rsidRDefault="002F1E90" w:rsidP="002F1E90">
      <w:pPr>
        <w:framePr w:w="7817" w:h="1088" w:hSpace="180" w:wrap="around" w:vAnchor="text" w:hAnchor="page" w:x="1904" w:y="2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7777777" w:rsidR="00BC3CCE" w:rsidRPr="006E7A5C" w:rsidRDefault="00BC3CCE" w:rsidP="006E7A5C">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2"/>
        </w:rPr>
      </w:pPr>
    </w:p>
    <w:p w14:paraId="6FB92BDF" w14:textId="756A2892" w:rsidR="00351FE9" w:rsidRPr="006E7A5C" w:rsidRDefault="00351FE9" w:rsidP="006E7A5C">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jc w:val="both"/>
        <w:rPr>
          <w:rFonts w:ascii="Helvetica" w:hAnsi="Helvetica" w:cs="Calibri"/>
          <w:sz w:val="20"/>
          <w:szCs w:val="22"/>
        </w:rPr>
      </w:pPr>
      <w:r w:rsidRPr="006E7A5C">
        <w:rPr>
          <w:rFonts w:ascii="Helvetica" w:hAnsi="Helvetica" w:cs="Calibri"/>
          <w:sz w:val="20"/>
          <w:szCs w:val="22"/>
        </w:rPr>
        <w:t>Allocation to study group (vaccinee or control) was based on time of enrolment (vaccinees were enrolled before con</w:t>
      </w:r>
      <w:r w:rsidR="006E7A5C">
        <w:rPr>
          <w:rFonts w:ascii="Helvetica" w:hAnsi="Helvetica" w:cs="Calibri"/>
          <w:sz w:val="20"/>
          <w:szCs w:val="22"/>
        </w:rPr>
        <w:t>trols) and volunteer preference; r</w:t>
      </w:r>
      <w:r w:rsidRPr="006E7A5C">
        <w:rPr>
          <w:rFonts w:ascii="Helvetica" w:hAnsi="Helvetica" w:cs="Calibri"/>
          <w:sz w:val="20"/>
          <w:szCs w:val="22"/>
        </w:rPr>
        <w:t>andomisation was not included in the study design.</w:t>
      </w:r>
      <w:r w:rsidR="006E7A5C">
        <w:rPr>
          <w:rFonts w:ascii="Helvetica" w:hAnsi="Helvetica" w:cs="Calibri"/>
          <w:sz w:val="20"/>
          <w:szCs w:val="22"/>
        </w:rPr>
        <w:t xml:space="preserve"> </w:t>
      </w:r>
      <w:r w:rsidRPr="006E7A5C">
        <w:rPr>
          <w:rFonts w:ascii="Helvetica" w:hAnsi="Helvetica" w:cs="Calibri"/>
          <w:sz w:val="20"/>
          <w:szCs w:val="22"/>
        </w:rPr>
        <w:t>Note that all clinical staff were blinded to which group the volunteers were assigned. Further details of group allocation and blinding can be found here:</w:t>
      </w:r>
    </w:p>
    <w:p w14:paraId="41E82812" w14:textId="77777777" w:rsidR="00351FE9" w:rsidRPr="006E7A5C" w:rsidRDefault="00351FE9" w:rsidP="006E7A5C">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jc w:val="both"/>
        <w:rPr>
          <w:rFonts w:ascii="Helvetica" w:hAnsi="Helvetica" w:cs="Calibri"/>
          <w:sz w:val="20"/>
          <w:szCs w:val="22"/>
        </w:rPr>
      </w:pPr>
    </w:p>
    <w:p w14:paraId="025601A6" w14:textId="2111C15F" w:rsidR="00351FE9" w:rsidRPr="006E7A5C" w:rsidRDefault="00351FE9" w:rsidP="006E7A5C">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jc w:val="both"/>
        <w:rPr>
          <w:rFonts w:ascii="Helvetica" w:hAnsi="Helvetica" w:cs="Calibri"/>
          <w:sz w:val="20"/>
          <w:szCs w:val="22"/>
        </w:rPr>
      </w:pPr>
      <w:r w:rsidRPr="006E7A5C">
        <w:rPr>
          <w:rFonts w:ascii="Helvetica" w:hAnsi="Helvetica" w:cs="Calibri"/>
          <w:sz w:val="20"/>
          <w:szCs w:val="22"/>
        </w:rPr>
        <w:t>https://clinicaltrials.gov/ct2/show/NCT02044198?term=NCT02044198&amp;draw=2&amp;rank=1</w:t>
      </w:r>
    </w:p>
    <w:p w14:paraId="41342DCE" w14:textId="77777777" w:rsidR="00351FE9" w:rsidRPr="006E7A5C" w:rsidRDefault="00351FE9" w:rsidP="006E7A5C">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jc w:val="both"/>
        <w:rPr>
          <w:rFonts w:ascii="Helvetica" w:hAnsi="Helvetica" w:cs="Calibri"/>
          <w:sz w:val="20"/>
          <w:szCs w:val="22"/>
        </w:rPr>
      </w:pPr>
    </w:p>
    <w:p w14:paraId="138FBE61" w14:textId="5136B9B9" w:rsidR="00351FE9" w:rsidRPr="006E7A5C" w:rsidRDefault="00D803EB" w:rsidP="006E7A5C">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jc w:val="both"/>
        <w:rPr>
          <w:rFonts w:ascii="Helvetica" w:hAnsi="Helvetica" w:cs="Calibri"/>
          <w:sz w:val="20"/>
          <w:szCs w:val="22"/>
        </w:rPr>
      </w:pPr>
      <w:r>
        <w:rPr>
          <w:rFonts w:ascii="Helvetica" w:hAnsi="Helvetica" w:cs="Calibri"/>
          <w:sz w:val="20"/>
          <w:szCs w:val="22"/>
        </w:rPr>
        <w:t>O</w:t>
      </w:r>
      <w:r w:rsidR="006E7A5C">
        <w:rPr>
          <w:rFonts w:ascii="Helvetica" w:hAnsi="Helvetica" w:cs="Calibri"/>
          <w:sz w:val="20"/>
          <w:szCs w:val="22"/>
        </w:rPr>
        <w:t>nly control volunteers were analysed in this study.</w:t>
      </w:r>
    </w:p>
    <w:p w14:paraId="3C78F3C1" w14:textId="77777777" w:rsidR="00351FE9" w:rsidRPr="006E7A5C" w:rsidRDefault="00351FE9" w:rsidP="006E7A5C">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33B095F" w14:textId="77777777" w:rsidR="00D429A1" w:rsidRDefault="00D429A1" w:rsidP="00D429A1">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Helvetica" w:hAnsi="Helvetica"/>
          <w:sz w:val="20"/>
          <w:szCs w:val="22"/>
        </w:rPr>
      </w:pPr>
    </w:p>
    <w:p w14:paraId="3B6E60A6" w14:textId="6CC7A27F" w:rsidR="00BC3CCE" w:rsidRDefault="00DE6486" w:rsidP="00D429A1">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Helvetica" w:hAnsi="Helvetica"/>
          <w:sz w:val="20"/>
          <w:szCs w:val="22"/>
        </w:rPr>
      </w:pPr>
      <w:r>
        <w:rPr>
          <w:rFonts w:ascii="Helvetica" w:hAnsi="Helvetica"/>
          <w:sz w:val="20"/>
          <w:szCs w:val="22"/>
          <w:u w:val="single"/>
        </w:rPr>
        <w:t>Source</w:t>
      </w:r>
      <w:r w:rsidRPr="00DE6486">
        <w:rPr>
          <w:rFonts w:ascii="Helvetica" w:hAnsi="Helvetica"/>
          <w:sz w:val="20"/>
          <w:szCs w:val="22"/>
        </w:rPr>
        <w:t xml:space="preserve"> </w:t>
      </w:r>
      <w:r>
        <w:rPr>
          <w:rFonts w:ascii="Helvetica" w:hAnsi="Helvetica"/>
          <w:sz w:val="20"/>
          <w:szCs w:val="22"/>
          <w:u w:val="single"/>
        </w:rPr>
        <w:t>Data</w:t>
      </w:r>
      <w:r w:rsidRPr="00DE6486">
        <w:rPr>
          <w:rFonts w:ascii="Helvetica" w:hAnsi="Helvetica"/>
          <w:sz w:val="20"/>
          <w:szCs w:val="22"/>
        </w:rPr>
        <w:t xml:space="preserve"> and </w:t>
      </w:r>
      <w:r w:rsidR="00AC0B6C">
        <w:rPr>
          <w:rFonts w:ascii="Helvetica" w:hAnsi="Helvetica"/>
          <w:sz w:val="20"/>
          <w:szCs w:val="22"/>
          <w:u w:val="single"/>
        </w:rPr>
        <w:t>Su</w:t>
      </w:r>
      <w:r w:rsidR="00AC0B6C" w:rsidRPr="00AC0B6C">
        <w:rPr>
          <w:rFonts w:ascii="Helvetica" w:hAnsi="Helvetica"/>
          <w:sz w:val="20"/>
          <w:szCs w:val="22"/>
        </w:rPr>
        <w:t>pp</w:t>
      </w:r>
      <w:r w:rsidR="00AC0B6C">
        <w:rPr>
          <w:rFonts w:ascii="Helvetica" w:hAnsi="Helvetica"/>
          <w:sz w:val="20"/>
          <w:szCs w:val="22"/>
          <w:u w:val="single"/>
        </w:rPr>
        <w:t>lementar</w:t>
      </w:r>
      <w:r w:rsidR="00AC0B6C" w:rsidRPr="00AC0B6C">
        <w:rPr>
          <w:rFonts w:ascii="Helvetica" w:hAnsi="Helvetica"/>
          <w:sz w:val="20"/>
          <w:szCs w:val="22"/>
        </w:rPr>
        <w:t>y</w:t>
      </w:r>
      <w:r w:rsidR="00784E37">
        <w:rPr>
          <w:rFonts w:ascii="Helvetica" w:hAnsi="Helvetica"/>
          <w:sz w:val="20"/>
          <w:szCs w:val="22"/>
        </w:rPr>
        <w:t xml:space="preserve"> </w:t>
      </w:r>
      <w:r w:rsidR="00D803EB">
        <w:rPr>
          <w:rFonts w:ascii="Helvetica" w:hAnsi="Helvetica"/>
          <w:sz w:val="20"/>
          <w:szCs w:val="22"/>
          <w:u w:val="single"/>
        </w:rPr>
        <w:t>F</w:t>
      </w:r>
      <w:r w:rsidR="00784E37" w:rsidRPr="00784E37">
        <w:rPr>
          <w:rFonts w:ascii="Helvetica" w:hAnsi="Helvetica"/>
          <w:sz w:val="20"/>
          <w:szCs w:val="22"/>
          <w:u w:val="single"/>
        </w:rPr>
        <w:t>ile</w:t>
      </w:r>
      <w:r>
        <w:rPr>
          <w:rFonts w:ascii="Helvetica" w:hAnsi="Helvetica"/>
          <w:sz w:val="20"/>
          <w:szCs w:val="22"/>
        </w:rPr>
        <w:t>s</w:t>
      </w:r>
    </w:p>
    <w:p w14:paraId="2A03BF7A" w14:textId="77777777" w:rsidR="00784E37" w:rsidRDefault="00784E37" w:rsidP="00D429A1">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Helvetica" w:hAnsi="Helvetica"/>
          <w:sz w:val="20"/>
          <w:szCs w:val="22"/>
        </w:rPr>
      </w:pPr>
    </w:p>
    <w:p w14:paraId="566DC70C" w14:textId="4857C798" w:rsidR="00784E37" w:rsidRDefault="00DE6486" w:rsidP="00D429A1">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Helvetica" w:hAnsi="Helvetica"/>
          <w:sz w:val="20"/>
          <w:szCs w:val="22"/>
        </w:rPr>
      </w:pPr>
      <w:r>
        <w:rPr>
          <w:rFonts w:ascii="Helvetica" w:hAnsi="Helvetica"/>
          <w:sz w:val="20"/>
          <w:szCs w:val="22"/>
        </w:rPr>
        <w:t>Supplementary File</w:t>
      </w:r>
      <w:r w:rsidR="00784E37">
        <w:rPr>
          <w:rFonts w:ascii="Helvetica" w:hAnsi="Helvetica"/>
          <w:sz w:val="20"/>
          <w:szCs w:val="22"/>
        </w:rPr>
        <w:t xml:space="preserve"> 1</w:t>
      </w:r>
      <w:r w:rsidR="00784E37">
        <w:rPr>
          <w:rFonts w:ascii="Helvetica" w:hAnsi="Helvetica"/>
          <w:sz w:val="20"/>
          <w:szCs w:val="22"/>
        </w:rPr>
        <w:tab/>
      </w:r>
      <w:r w:rsidR="00224E25">
        <w:rPr>
          <w:rFonts w:ascii="Helvetica" w:hAnsi="Helvetica"/>
          <w:sz w:val="20"/>
          <w:szCs w:val="22"/>
        </w:rPr>
        <w:t xml:space="preserve">volunteer demographics for VAC054 and VAC065 </w:t>
      </w:r>
    </w:p>
    <w:p w14:paraId="6BE9B56D" w14:textId="1766E09A" w:rsidR="00784E37" w:rsidRDefault="00DE6486" w:rsidP="00D429A1">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Helvetica" w:hAnsi="Helvetica"/>
          <w:sz w:val="20"/>
          <w:szCs w:val="22"/>
        </w:rPr>
      </w:pPr>
      <w:r>
        <w:rPr>
          <w:rFonts w:ascii="Helvetica" w:hAnsi="Helvetica"/>
          <w:sz w:val="20"/>
          <w:szCs w:val="22"/>
        </w:rPr>
        <w:t>Supplementary File</w:t>
      </w:r>
      <w:r>
        <w:rPr>
          <w:rFonts w:ascii="Helvetica" w:hAnsi="Helvetica"/>
          <w:sz w:val="20"/>
          <w:szCs w:val="22"/>
        </w:rPr>
        <w:t xml:space="preserve"> </w:t>
      </w:r>
      <w:r w:rsidR="00784E37">
        <w:rPr>
          <w:rFonts w:ascii="Helvetica" w:hAnsi="Helvetica"/>
          <w:sz w:val="20"/>
          <w:szCs w:val="22"/>
        </w:rPr>
        <w:t>2</w:t>
      </w:r>
      <w:r w:rsidR="00784E37">
        <w:rPr>
          <w:rFonts w:ascii="Helvetica" w:hAnsi="Helvetica"/>
          <w:sz w:val="20"/>
          <w:szCs w:val="22"/>
        </w:rPr>
        <w:tab/>
        <w:t xml:space="preserve">supports Figure 1 </w:t>
      </w:r>
      <w:r w:rsidR="00224E25">
        <w:rPr>
          <w:rFonts w:ascii="Helvetica" w:hAnsi="Helvetica"/>
          <w:sz w:val="20"/>
          <w:szCs w:val="22"/>
        </w:rPr>
        <w:t>-</w:t>
      </w:r>
      <w:r w:rsidR="00784E37">
        <w:rPr>
          <w:rFonts w:ascii="Helvetica" w:hAnsi="Helvetica"/>
          <w:sz w:val="20"/>
          <w:szCs w:val="22"/>
        </w:rPr>
        <w:t xml:space="preserve"> </w:t>
      </w:r>
      <w:r w:rsidR="00D803EB">
        <w:rPr>
          <w:rFonts w:ascii="Helvetica" w:hAnsi="Helvetica"/>
          <w:sz w:val="20"/>
          <w:szCs w:val="22"/>
        </w:rPr>
        <w:t>s</w:t>
      </w:r>
      <w:r w:rsidR="00224E25">
        <w:rPr>
          <w:rFonts w:ascii="Helvetica" w:hAnsi="Helvetica"/>
          <w:sz w:val="20"/>
          <w:szCs w:val="22"/>
        </w:rPr>
        <w:t>upplement 1 &amp;</w:t>
      </w:r>
      <w:r w:rsidR="00784E37">
        <w:rPr>
          <w:rFonts w:ascii="Helvetica" w:hAnsi="Helvetica"/>
          <w:sz w:val="20"/>
          <w:szCs w:val="22"/>
        </w:rPr>
        <w:t xml:space="preserve"> 2</w:t>
      </w:r>
    </w:p>
    <w:p w14:paraId="103EE186" w14:textId="12F7E714" w:rsidR="00784E37" w:rsidRDefault="00DE6486" w:rsidP="00D429A1">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Helvetica" w:hAnsi="Helvetica"/>
          <w:sz w:val="20"/>
          <w:szCs w:val="22"/>
        </w:rPr>
      </w:pPr>
      <w:r>
        <w:rPr>
          <w:rFonts w:ascii="Helvetica" w:hAnsi="Helvetica"/>
          <w:sz w:val="20"/>
          <w:szCs w:val="22"/>
        </w:rPr>
        <w:t>Supplementary File</w:t>
      </w:r>
      <w:r>
        <w:rPr>
          <w:rFonts w:ascii="Helvetica" w:hAnsi="Helvetica"/>
          <w:sz w:val="20"/>
          <w:szCs w:val="22"/>
        </w:rPr>
        <w:t xml:space="preserve"> 3</w:t>
      </w:r>
      <w:r w:rsidR="00224E25">
        <w:rPr>
          <w:rFonts w:ascii="Helvetica" w:hAnsi="Helvetica"/>
          <w:sz w:val="20"/>
          <w:szCs w:val="22"/>
        </w:rPr>
        <w:tab/>
      </w:r>
      <w:r>
        <w:rPr>
          <w:rFonts w:ascii="Helvetica" w:hAnsi="Helvetica"/>
          <w:sz w:val="20"/>
          <w:szCs w:val="22"/>
        </w:rPr>
        <w:t>supports</w:t>
      </w:r>
      <w:r w:rsidR="00224E25">
        <w:rPr>
          <w:rFonts w:ascii="Helvetica" w:hAnsi="Helvetica"/>
          <w:sz w:val="20"/>
          <w:szCs w:val="22"/>
        </w:rPr>
        <w:t xml:space="preserve"> Figure 2</w:t>
      </w:r>
    </w:p>
    <w:p w14:paraId="5F04CE43" w14:textId="5B06307C" w:rsidR="00784E37" w:rsidRDefault="00DE6486" w:rsidP="00D429A1">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Helvetica" w:hAnsi="Helvetica"/>
          <w:sz w:val="20"/>
          <w:szCs w:val="22"/>
        </w:rPr>
      </w:pPr>
      <w:r>
        <w:rPr>
          <w:rFonts w:ascii="Helvetica" w:hAnsi="Helvetica"/>
          <w:sz w:val="20"/>
          <w:szCs w:val="22"/>
        </w:rPr>
        <w:t>Supplementary File</w:t>
      </w:r>
      <w:r>
        <w:rPr>
          <w:rFonts w:ascii="Helvetica" w:hAnsi="Helvetica"/>
          <w:sz w:val="20"/>
          <w:szCs w:val="22"/>
        </w:rPr>
        <w:t xml:space="preserve"> 4</w:t>
      </w:r>
      <w:r w:rsidR="00224E25">
        <w:rPr>
          <w:rFonts w:ascii="Helvetica" w:hAnsi="Helvetica"/>
          <w:sz w:val="20"/>
          <w:szCs w:val="22"/>
        </w:rPr>
        <w:tab/>
        <w:t>supports Figure 2</w:t>
      </w:r>
    </w:p>
    <w:p w14:paraId="35E970E7" w14:textId="177EE196" w:rsidR="00784E37" w:rsidRDefault="00DE6486" w:rsidP="00D429A1">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Helvetica" w:hAnsi="Helvetica"/>
          <w:sz w:val="20"/>
          <w:szCs w:val="22"/>
        </w:rPr>
      </w:pPr>
      <w:r>
        <w:rPr>
          <w:rFonts w:ascii="Helvetica" w:hAnsi="Helvetica"/>
          <w:sz w:val="20"/>
          <w:szCs w:val="22"/>
        </w:rPr>
        <w:t>Supplementary File</w:t>
      </w:r>
      <w:r>
        <w:rPr>
          <w:rFonts w:ascii="Helvetica" w:hAnsi="Helvetica"/>
          <w:sz w:val="20"/>
          <w:szCs w:val="22"/>
        </w:rPr>
        <w:t xml:space="preserve"> 5</w:t>
      </w:r>
      <w:r w:rsidR="00224E25">
        <w:rPr>
          <w:rFonts w:ascii="Helvetica" w:hAnsi="Helvetica"/>
          <w:sz w:val="20"/>
          <w:szCs w:val="22"/>
        </w:rPr>
        <w:tab/>
      </w:r>
      <w:r>
        <w:rPr>
          <w:rFonts w:ascii="Helvetica" w:hAnsi="Helvetica"/>
          <w:sz w:val="20"/>
          <w:szCs w:val="22"/>
        </w:rPr>
        <w:t>supports</w:t>
      </w:r>
      <w:r w:rsidR="00224E25">
        <w:rPr>
          <w:rFonts w:ascii="Helvetica" w:hAnsi="Helvetica"/>
          <w:sz w:val="20"/>
          <w:szCs w:val="22"/>
        </w:rPr>
        <w:t xml:space="preserve"> Figure 2</w:t>
      </w:r>
    </w:p>
    <w:p w14:paraId="427E357C" w14:textId="5CFFD6FD" w:rsidR="00784E37" w:rsidRDefault="00DE6486" w:rsidP="00D429A1">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Helvetica" w:hAnsi="Helvetica"/>
          <w:sz w:val="20"/>
          <w:szCs w:val="22"/>
        </w:rPr>
      </w:pPr>
      <w:r>
        <w:rPr>
          <w:rFonts w:ascii="Helvetica" w:hAnsi="Helvetica"/>
          <w:sz w:val="20"/>
          <w:szCs w:val="22"/>
        </w:rPr>
        <w:t>Supplementary File</w:t>
      </w:r>
      <w:r>
        <w:rPr>
          <w:rFonts w:ascii="Helvetica" w:hAnsi="Helvetica"/>
          <w:sz w:val="20"/>
          <w:szCs w:val="22"/>
        </w:rPr>
        <w:t xml:space="preserve"> 6</w:t>
      </w:r>
      <w:r w:rsidR="00224E25">
        <w:rPr>
          <w:rFonts w:ascii="Helvetica" w:hAnsi="Helvetica"/>
          <w:sz w:val="20"/>
          <w:szCs w:val="22"/>
        </w:rPr>
        <w:tab/>
        <w:t>supports Figure 1 and Figure 2</w:t>
      </w:r>
    </w:p>
    <w:p w14:paraId="0E993875" w14:textId="79A0F77A" w:rsidR="00784E37" w:rsidRDefault="00DE6486" w:rsidP="00D429A1">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Helvetica" w:hAnsi="Helvetica"/>
          <w:sz w:val="20"/>
          <w:szCs w:val="22"/>
        </w:rPr>
      </w:pPr>
      <w:r>
        <w:rPr>
          <w:rFonts w:ascii="Helvetica" w:hAnsi="Helvetica"/>
          <w:sz w:val="20"/>
          <w:szCs w:val="22"/>
        </w:rPr>
        <w:t>Supplementary File</w:t>
      </w:r>
      <w:r>
        <w:rPr>
          <w:rFonts w:ascii="Helvetica" w:hAnsi="Helvetica"/>
          <w:sz w:val="20"/>
          <w:szCs w:val="22"/>
        </w:rPr>
        <w:t xml:space="preserve"> 7</w:t>
      </w:r>
      <w:r w:rsidR="00224E25">
        <w:rPr>
          <w:rFonts w:ascii="Helvetica" w:hAnsi="Helvetica"/>
          <w:sz w:val="20"/>
          <w:szCs w:val="22"/>
        </w:rPr>
        <w:tab/>
      </w:r>
      <w:r>
        <w:rPr>
          <w:rFonts w:ascii="Helvetica" w:hAnsi="Helvetica"/>
          <w:sz w:val="20"/>
          <w:szCs w:val="22"/>
        </w:rPr>
        <w:t>supports</w:t>
      </w:r>
      <w:r w:rsidR="00224E25">
        <w:rPr>
          <w:rFonts w:ascii="Helvetica" w:hAnsi="Helvetica"/>
          <w:sz w:val="20"/>
          <w:szCs w:val="22"/>
        </w:rPr>
        <w:t xml:space="preserve"> Figure 2 - </w:t>
      </w:r>
      <w:r w:rsidR="00D803EB">
        <w:rPr>
          <w:rFonts w:ascii="Helvetica" w:hAnsi="Helvetica"/>
          <w:sz w:val="20"/>
          <w:szCs w:val="22"/>
        </w:rPr>
        <w:t>s</w:t>
      </w:r>
      <w:r w:rsidR="00224E25">
        <w:rPr>
          <w:rFonts w:ascii="Helvetica" w:hAnsi="Helvetica"/>
          <w:sz w:val="20"/>
          <w:szCs w:val="22"/>
        </w:rPr>
        <w:t>upplement 1</w:t>
      </w:r>
    </w:p>
    <w:p w14:paraId="4F584D10" w14:textId="5F16C42D" w:rsidR="00784E37" w:rsidRDefault="00DE6486" w:rsidP="00D429A1">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Helvetica" w:hAnsi="Helvetica"/>
          <w:sz w:val="20"/>
          <w:szCs w:val="22"/>
        </w:rPr>
      </w:pPr>
      <w:r>
        <w:rPr>
          <w:rFonts w:ascii="Helvetica" w:hAnsi="Helvetica"/>
          <w:sz w:val="20"/>
          <w:szCs w:val="22"/>
        </w:rPr>
        <w:t>Supplementary File</w:t>
      </w:r>
      <w:r>
        <w:rPr>
          <w:rFonts w:ascii="Helvetica" w:hAnsi="Helvetica"/>
          <w:sz w:val="20"/>
          <w:szCs w:val="22"/>
        </w:rPr>
        <w:t xml:space="preserve"> 8</w:t>
      </w:r>
      <w:r w:rsidR="00224E25">
        <w:rPr>
          <w:rFonts w:ascii="Helvetica" w:hAnsi="Helvetica"/>
          <w:sz w:val="20"/>
          <w:szCs w:val="22"/>
        </w:rPr>
        <w:tab/>
        <w:t xml:space="preserve">supports Figure 2 - </w:t>
      </w:r>
      <w:r w:rsidR="00D803EB">
        <w:rPr>
          <w:rFonts w:ascii="Helvetica" w:hAnsi="Helvetica"/>
          <w:sz w:val="20"/>
          <w:szCs w:val="22"/>
        </w:rPr>
        <w:t>s</w:t>
      </w:r>
      <w:r w:rsidR="00224E25">
        <w:rPr>
          <w:rFonts w:ascii="Helvetica" w:hAnsi="Helvetica"/>
          <w:sz w:val="20"/>
          <w:szCs w:val="22"/>
        </w:rPr>
        <w:t>upplement 1</w:t>
      </w:r>
      <w:bookmarkStart w:id="0" w:name="_GoBack"/>
      <w:bookmarkEnd w:id="0"/>
    </w:p>
    <w:p w14:paraId="2FBB424F" w14:textId="77777777" w:rsidR="00DE6486" w:rsidRDefault="00DE6486" w:rsidP="00DE6486">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Helvetica" w:hAnsi="Helvetica"/>
          <w:sz w:val="20"/>
          <w:szCs w:val="22"/>
        </w:rPr>
      </w:pPr>
    </w:p>
    <w:p w14:paraId="0CD36CEA" w14:textId="52C04D43" w:rsidR="00DE6486" w:rsidRDefault="00DE6486" w:rsidP="00D429A1">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Helvetica" w:hAnsi="Helvetica"/>
          <w:sz w:val="20"/>
          <w:szCs w:val="22"/>
        </w:rPr>
      </w:pPr>
      <w:r>
        <w:rPr>
          <w:rFonts w:ascii="Helvetica" w:hAnsi="Helvetica"/>
          <w:sz w:val="20"/>
          <w:szCs w:val="22"/>
        </w:rPr>
        <w:t>Figure 1 - source data 1</w:t>
      </w:r>
      <w:r>
        <w:rPr>
          <w:rFonts w:ascii="Helvetica" w:hAnsi="Helvetica"/>
          <w:sz w:val="20"/>
          <w:szCs w:val="22"/>
        </w:rPr>
        <w:tab/>
      </w:r>
      <w:r>
        <w:rPr>
          <w:rFonts w:ascii="Helvetica" w:hAnsi="Helvetica"/>
          <w:sz w:val="20"/>
          <w:szCs w:val="22"/>
        </w:rPr>
        <w:tab/>
        <w:t>raw data that underpins the heatmap in Figure 1</w:t>
      </w:r>
    </w:p>
    <w:p w14:paraId="2165854B" w14:textId="795B3545" w:rsidR="00784E37" w:rsidRDefault="00DE6486" w:rsidP="00D429A1">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Helvetica" w:hAnsi="Helvetica"/>
          <w:sz w:val="20"/>
          <w:szCs w:val="22"/>
        </w:rPr>
      </w:pPr>
      <w:r>
        <w:rPr>
          <w:rFonts w:ascii="Helvetica" w:hAnsi="Helvetica"/>
          <w:sz w:val="20"/>
          <w:szCs w:val="22"/>
        </w:rPr>
        <w:t>Figure 4 - source data 1</w:t>
      </w:r>
      <w:r w:rsidR="00224E25">
        <w:rPr>
          <w:rFonts w:ascii="Helvetica" w:hAnsi="Helvetica"/>
          <w:sz w:val="20"/>
          <w:szCs w:val="22"/>
        </w:rPr>
        <w:tab/>
      </w:r>
      <w:r>
        <w:rPr>
          <w:rFonts w:ascii="Helvetica" w:hAnsi="Helvetica"/>
          <w:sz w:val="20"/>
          <w:szCs w:val="22"/>
        </w:rPr>
        <w:tab/>
      </w:r>
      <w:r w:rsidR="00224E25">
        <w:rPr>
          <w:rFonts w:ascii="Helvetica" w:hAnsi="Helvetica"/>
          <w:sz w:val="20"/>
          <w:szCs w:val="22"/>
        </w:rPr>
        <w:t>raw data that underpins the heatmap in Figure 4</w:t>
      </w:r>
    </w:p>
    <w:p w14:paraId="69A00E03" w14:textId="77777777" w:rsidR="00784E37" w:rsidRPr="00410668" w:rsidRDefault="00784E37" w:rsidP="00D429A1">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Helvetica" w:hAnsi="Helvetica"/>
          <w:sz w:val="20"/>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5"/>
      <w:footerReference w:type="even" r:id="rId16"/>
      <w:footerReference w:type="default" r:id="rId17"/>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35EB9" w14:textId="77777777" w:rsidR="00B939E0" w:rsidRDefault="00B939E0" w:rsidP="004215FE">
      <w:r>
        <w:separator/>
      </w:r>
    </w:p>
  </w:endnote>
  <w:endnote w:type="continuationSeparator" w:id="0">
    <w:p w14:paraId="1C93A03A" w14:textId="77777777" w:rsidR="00B939E0" w:rsidRDefault="00B939E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784E37" w:rsidRDefault="00784E37"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784E37" w:rsidRDefault="00784E37"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784E37" w:rsidRDefault="00784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784E37" w:rsidRPr="0009520A" w:rsidRDefault="00784E37"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AC0B6C">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784E37" w:rsidRPr="00062DBF" w:rsidRDefault="00784E37"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000D0" w14:textId="77777777" w:rsidR="00B939E0" w:rsidRDefault="00B939E0" w:rsidP="004215FE">
      <w:r>
        <w:separator/>
      </w:r>
    </w:p>
  </w:footnote>
  <w:footnote w:type="continuationSeparator" w:id="0">
    <w:p w14:paraId="564B850B" w14:textId="77777777" w:rsidR="00B939E0" w:rsidRDefault="00B939E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784E37" w:rsidRDefault="00784E37"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41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2"/>
  </w:num>
  <w:num w:numId="5">
    <w:abstractNumId w:val="6"/>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01E0"/>
    <w:rsid w:val="00133662"/>
    <w:rsid w:val="00133907"/>
    <w:rsid w:val="00146DE9"/>
    <w:rsid w:val="0015519A"/>
    <w:rsid w:val="001618D5"/>
    <w:rsid w:val="00172538"/>
    <w:rsid w:val="00175192"/>
    <w:rsid w:val="001E1D59"/>
    <w:rsid w:val="00212F30"/>
    <w:rsid w:val="00217B9E"/>
    <w:rsid w:val="00224E25"/>
    <w:rsid w:val="002336C6"/>
    <w:rsid w:val="00241081"/>
    <w:rsid w:val="00266462"/>
    <w:rsid w:val="002A068D"/>
    <w:rsid w:val="002A0ED1"/>
    <w:rsid w:val="002A7487"/>
    <w:rsid w:val="002F1E90"/>
    <w:rsid w:val="00307F5D"/>
    <w:rsid w:val="003248ED"/>
    <w:rsid w:val="00351FE9"/>
    <w:rsid w:val="00370080"/>
    <w:rsid w:val="003D748A"/>
    <w:rsid w:val="003F19A6"/>
    <w:rsid w:val="00402ADD"/>
    <w:rsid w:val="0040384A"/>
    <w:rsid w:val="00406FF4"/>
    <w:rsid w:val="00410668"/>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A348F"/>
    <w:rsid w:val="005B0A15"/>
    <w:rsid w:val="00605A12"/>
    <w:rsid w:val="00634AC7"/>
    <w:rsid w:val="00657587"/>
    <w:rsid w:val="00661DCC"/>
    <w:rsid w:val="00672545"/>
    <w:rsid w:val="00685CCF"/>
    <w:rsid w:val="006A632B"/>
    <w:rsid w:val="006C06F5"/>
    <w:rsid w:val="006C7BC3"/>
    <w:rsid w:val="006E4A6C"/>
    <w:rsid w:val="006E6B2A"/>
    <w:rsid w:val="006E7A5C"/>
    <w:rsid w:val="00700103"/>
    <w:rsid w:val="007137E1"/>
    <w:rsid w:val="0071559E"/>
    <w:rsid w:val="00762B36"/>
    <w:rsid w:val="00763BA5"/>
    <w:rsid w:val="0076524F"/>
    <w:rsid w:val="00767B26"/>
    <w:rsid w:val="00784E37"/>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53C83"/>
    <w:rsid w:val="00A62B52"/>
    <w:rsid w:val="00A84B3E"/>
    <w:rsid w:val="00AB5612"/>
    <w:rsid w:val="00AC0B6C"/>
    <w:rsid w:val="00AC49AA"/>
    <w:rsid w:val="00AD7A8F"/>
    <w:rsid w:val="00AE7C75"/>
    <w:rsid w:val="00AF5736"/>
    <w:rsid w:val="00B124CC"/>
    <w:rsid w:val="00B17836"/>
    <w:rsid w:val="00B24C80"/>
    <w:rsid w:val="00B25462"/>
    <w:rsid w:val="00B330BD"/>
    <w:rsid w:val="00B4292F"/>
    <w:rsid w:val="00B57E8A"/>
    <w:rsid w:val="00B64119"/>
    <w:rsid w:val="00B8487A"/>
    <w:rsid w:val="00B939E0"/>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06050"/>
    <w:rsid w:val="00D10224"/>
    <w:rsid w:val="00D429A1"/>
    <w:rsid w:val="00D44612"/>
    <w:rsid w:val="00D458B4"/>
    <w:rsid w:val="00D50299"/>
    <w:rsid w:val="00D74320"/>
    <w:rsid w:val="00D779BF"/>
    <w:rsid w:val="00D803EB"/>
    <w:rsid w:val="00D82E03"/>
    <w:rsid w:val="00D83D45"/>
    <w:rsid w:val="00D93937"/>
    <w:rsid w:val="00DB1794"/>
    <w:rsid w:val="00DE207A"/>
    <w:rsid w:val="00DE2719"/>
    <w:rsid w:val="00DE6486"/>
    <w:rsid w:val="00DF1913"/>
    <w:rsid w:val="00E007B4"/>
    <w:rsid w:val="00E14EAE"/>
    <w:rsid w:val="00E234CA"/>
    <w:rsid w:val="00E41364"/>
    <w:rsid w:val="00E47162"/>
    <w:rsid w:val="00E61AB4"/>
    <w:rsid w:val="00E70517"/>
    <w:rsid w:val="00E870D1"/>
    <w:rsid w:val="00ED346E"/>
    <w:rsid w:val="00EF7423"/>
    <w:rsid w:val="00F27DEC"/>
    <w:rsid w:val="00F3344F"/>
    <w:rsid w:val="00F60CF4"/>
    <w:rsid w:val="00FB3C76"/>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BC56882-333B-694D-94DB-D79F388F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customStyle="1" w:styleId="id-label">
    <w:name w:val="id-label"/>
    <w:basedOn w:val="DefaultParagraphFont"/>
    <w:rsid w:val="00D06050"/>
  </w:style>
  <w:style w:type="character" w:styleId="Strong">
    <w:name w:val="Strong"/>
    <w:basedOn w:val="DefaultParagraphFont"/>
    <w:uiPriority w:val="22"/>
    <w:qFormat/>
    <w:locked/>
    <w:rsid w:val="00D06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811479617">
      <w:bodyDiv w:val="1"/>
      <w:marLeft w:val="0"/>
      <w:marRight w:val="0"/>
      <w:marTop w:val="0"/>
      <w:marBottom w:val="0"/>
      <w:divBdr>
        <w:top w:val="none" w:sz="0" w:space="0" w:color="auto"/>
        <w:left w:val="none" w:sz="0" w:space="0" w:color="auto"/>
        <w:bottom w:val="none" w:sz="0" w:space="0" w:color="auto"/>
        <w:right w:val="none" w:sz="0" w:space="0" w:color="auto"/>
      </w:divBdr>
    </w:div>
    <w:div w:id="923609433">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366099006">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753164577">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www.ebi.ac.uk/ena/browser/view/ERP11636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geo/query/acc.cgi?acc=GSE1320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osbiology.org/article/info:doi/10.1371/journal.pbio.10004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yperlink" Target="https://www.ebi.ac.uk/ega/studies/EGAS000010037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772B7-0419-DE48-9ED1-6008150B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6</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10571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41</cp:revision>
  <dcterms:created xsi:type="dcterms:W3CDTF">2017-06-13T14:43:00Z</dcterms:created>
  <dcterms:modified xsi:type="dcterms:W3CDTF">2021-01-30T16:52:00Z</dcterms:modified>
</cp:coreProperties>
</file>