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76D19" w14:textId="456FE3B9" w:rsidR="0009083E" w:rsidRPr="00513E40" w:rsidRDefault="0009083E" w:rsidP="0009083E">
      <w:pPr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Figure 3- source data 1</w:t>
      </w:r>
      <w:r w:rsidRPr="00513E40">
        <w:rPr>
          <w:b/>
          <w:color w:val="222222"/>
          <w:shd w:val="clear" w:color="auto" w:fill="FFFFFF"/>
        </w:rPr>
        <w:t>. Associations between microstructure and tau</w:t>
      </w:r>
      <w:r>
        <w:rPr>
          <w:b/>
          <w:color w:val="222222"/>
          <w:shd w:val="clear" w:color="auto" w:fill="FFFFFF"/>
        </w:rPr>
        <w:t>-PET</w:t>
      </w:r>
      <w:r w:rsidRPr="00513E40">
        <w:rPr>
          <w:b/>
          <w:color w:val="222222"/>
          <w:shd w:val="clear" w:color="auto" w:fill="FFFFFF"/>
        </w:rPr>
        <w:t xml:space="preserve"> in PREVENT-AD</w:t>
      </w:r>
    </w:p>
    <w:p w14:paraId="06912E2E" w14:textId="77777777" w:rsidR="0009083E" w:rsidRPr="00513E40" w:rsidRDefault="0009083E" w:rsidP="0009083E">
      <w:pPr>
        <w:rPr>
          <w:sz w:val="22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0"/>
        <w:gridCol w:w="1170"/>
        <w:gridCol w:w="1170"/>
        <w:gridCol w:w="1170"/>
        <w:gridCol w:w="1170"/>
        <w:gridCol w:w="1170"/>
        <w:gridCol w:w="1170"/>
      </w:tblGrid>
      <w:tr w:rsidR="0009083E" w:rsidRPr="00D91BF1" w14:paraId="0FD65089" w14:textId="77777777" w:rsidTr="004C01B8">
        <w:trPr>
          <w:trHeight w:val="317"/>
        </w:trPr>
        <w:tc>
          <w:tcPr>
            <w:tcW w:w="1875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A542E0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1B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WHOLE GROUP</w:t>
            </w: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034CA4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FEB11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09F3EB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DF76C8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DCAC99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83E" w:rsidRPr="00D91BF1" w14:paraId="1D8B6CC5" w14:textId="77777777" w:rsidTr="004C01B8">
        <w:trPr>
          <w:trHeight w:val="57"/>
        </w:trPr>
        <w:tc>
          <w:tcPr>
            <w:tcW w:w="1250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DC6147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C9B89" w14:textId="77777777" w:rsidR="0009083E" w:rsidRPr="00CA4A10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CA4A1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Anterior cingulum</w:t>
            </w:r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7C031" w14:textId="77777777" w:rsidR="0009083E" w:rsidRPr="00CA4A10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CA4A1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Posterior cingulum</w:t>
            </w:r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  <w:hideMark/>
          </w:tcPr>
          <w:p w14:paraId="0ED50773" w14:textId="77777777" w:rsidR="0009083E" w:rsidRPr="00CA4A10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CA4A1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Uncinate fasciculus</w:t>
            </w:r>
          </w:p>
        </w:tc>
      </w:tr>
      <w:tr w:rsidR="0009083E" w:rsidRPr="00D91BF1" w14:paraId="7030EBB1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D87891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6129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partial</w:t>
            </w:r>
            <w:proofErr w:type="spellEnd"/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4025F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p-value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BD65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partial</w:t>
            </w:r>
            <w:proofErr w:type="spellEnd"/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AD40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p-value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4ACC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partial</w:t>
            </w:r>
            <w:proofErr w:type="spellEnd"/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14:paraId="1395AD9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p-value</w:t>
            </w:r>
          </w:p>
        </w:tc>
      </w:tr>
      <w:tr w:rsidR="0009083E" w:rsidRPr="00D91BF1" w14:paraId="4DC38E9E" w14:textId="77777777" w:rsidTr="004C01B8">
        <w:trPr>
          <w:trHeight w:val="57"/>
        </w:trPr>
        <w:tc>
          <w:tcPr>
            <w:tcW w:w="1250" w:type="pct"/>
            <w:shd w:val="clear" w:color="auto" w:fill="D9D9D9" w:themeFill="background1" w:themeFillShade="D9"/>
            <w:noWrap/>
            <w:vAlign w:val="bottom"/>
            <w:hideMark/>
          </w:tcPr>
          <w:p w14:paraId="1FCED8D8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00000"/>
                <w:sz w:val="20"/>
                <w:szCs w:val="20"/>
              </w:rPr>
              <w:t>Left hemisphere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5D618D8A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027FD46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7D0360A1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059F0711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40DEC40F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3D1445B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83E" w:rsidRPr="00D91BF1" w14:paraId="2CE255CC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31704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FA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6E991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-0.009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CB35D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0.921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D74F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-0.034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DCE4E0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0.713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45213F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0.088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19266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0.336</w:t>
            </w:r>
          </w:p>
        </w:tc>
      </w:tr>
      <w:tr w:rsidR="0009083E" w:rsidRPr="00D91BF1" w14:paraId="72B3DFEE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23593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MD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CE004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0.009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E50C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0.92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DEC1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0.033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76E34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0.718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F917B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-0.088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10B9C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0.336</w:t>
            </w:r>
          </w:p>
        </w:tc>
      </w:tr>
      <w:tr w:rsidR="0009083E" w:rsidRPr="00D91BF1" w14:paraId="55E11C68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2A917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AD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3DCC7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0.032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D9EDD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0.727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86074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-0.057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2152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0.529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820B13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0.085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EFC18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0.352</w:t>
            </w:r>
          </w:p>
        </w:tc>
      </w:tr>
      <w:tr w:rsidR="0009083E" w:rsidRPr="00D91BF1" w14:paraId="2F8756A2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BA7FC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383F1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0.009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D95FA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0.923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82F2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0.033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762463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0.716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5EEAC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-0.088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61445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0.335</w:t>
            </w:r>
          </w:p>
        </w:tc>
      </w:tr>
      <w:tr w:rsidR="0009083E" w:rsidRPr="00D91BF1" w14:paraId="7209058B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3521A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FW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4193B3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0.067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CC155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0.461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C7AB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0.161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D51FF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0.077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9F5311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0.043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28C30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0.64</w:t>
            </w:r>
          </w:p>
        </w:tc>
      </w:tr>
      <w:tr w:rsidR="0009083E" w:rsidRPr="00D91BF1" w14:paraId="62391359" w14:textId="77777777" w:rsidTr="004C01B8">
        <w:trPr>
          <w:trHeight w:val="57"/>
        </w:trPr>
        <w:tc>
          <w:tcPr>
            <w:tcW w:w="1250" w:type="pct"/>
            <w:shd w:val="clear" w:color="auto" w:fill="D9D9D9" w:themeFill="background1" w:themeFillShade="D9"/>
            <w:vAlign w:val="center"/>
            <w:hideMark/>
          </w:tcPr>
          <w:p w14:paraId="5F26AC4A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Right hemisphere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69AC8A64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1B4613A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6A6D4BD4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7E02F381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5244A6D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2EC1F74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83E" w:rsidRPr="00D91BF1" w14:paraId="3CC14E2B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81705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FA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804EA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-0.056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3166A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0.542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3B6F0F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-0.028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203EE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0.758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932E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-0.079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C38B3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0.384</w:t>
            </w:r>
          </w:p>
        </w:tc>
      </w:tr>
      <w:tr w:rsidR="0009083E" w:rsidRPr="00D91BF1" w14:paraId="66063126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0AB80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MD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202C3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0.056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4CDDDF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0.54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E88E2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0.029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A2355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0.755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E5869A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0.08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6991A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0.38</w:t>
            </w:r>
          </w:p>
        </w:tc>
      </w:tr>
      <w:tr w:rsidR="0009083E" w:rsidRPr="00D91BF1" w14:paraId="0FA8E9A5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86B74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AD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F032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-0.043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08C9FC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0.641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3981B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-0.034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323A0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0.712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E8CB4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-0.057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B2720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0.532</w:t>
            </w:r>
          </w:p>
        </w:tc>
      </w:tr>
      <w:tr w:rsidR="0009083E" w:rsidRPr="00D91BF1" w14:paraId="6FF3B71D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80B73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7C109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0.056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948A0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0.541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10CD4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0.029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D627B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0.754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F47E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0.08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36B613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0.381</w:t>
            </w:r>
          </w:p>
        </w:tc>
      </w:tr>
      <w:tr w:rsidR="0009083E" w:rsidRPr="00D91BF1" w14:paraId="5EDA9FF7" w14:textId="77777777" w:rsidTr="004C01B8">
        <w:trPr>
          <w:trHeight w:val="57"/>
        </w:trPr>
        <w:tc>
          <w:tcPr>
            <w:tcW w:w="1250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4C6EC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FW</w:t>
            </w:r>
          </w:p>
        </w:tc>
        <w:tc>
          <w:tcPr>
            <w:tcW w:w="6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0417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0.065</w:t>
            </w:r>
          </w:p>
        </w:tc>
        <w:tc>
          <w:tcPr>
            <w:tcW w:w="6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B9A0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0.474</w:t>
            </w:r>
          </w:p>
        </w:tc>
        <w:tc>
          <w:tcPr>
            <w:tcW w:w="6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41537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0.117</w:t>
            </w:r>
          </w:p>
        </w:tc>
        <w:tc>
          <w:tcPr>
            <w:tcW w:w="6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2CC4CA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0.2</w:t>
            </w:r>
          </w:p>
        </w:tc>
        <w:tc>
          <w:tcPr>
            <w:tcW w:w="6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86662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0.147</w:t>
            </w:r>
          </w:p>
        </w:tc>
        <w:tc>
          <w:tcPr>
            <w:tcW w:w="62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0AC2A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0.107</w:t>
            </w:r>
          </w:p>
        </w:tc>
      </w:tr>
      <w:tr w:rsidR="0009083E" w:rsidRPr="00D91BF1" w14:paraId="648AE3C9" w14:textId="77777777" w:rsidTr="004C01B8">
        <w:trPr>
          <w:trHeight w:val="361"/>
        </w:trPr>
        <w:tc>
          <w:tcPr>
            <w:tcW w:w="1875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7A704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1B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TAU-POSITIVE</w:t>
            </w: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0F079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A2FC1A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AE5FE4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17DA1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5D4E20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83E" w:rsidRPr="00D91BF1" w14:paraId="46598FBD" w14:textId="77777777" w:rsidTr="004C01B8">
        <w:trPr>
          <w:trHeight w:val="57"/>
        </w:trPr>
        <w:tc>
          <w:tcPr>
            <w:tcW w:w="1250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517EC5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922DC" w14:textId="77777777" w:rsidR="0009083E" w:rsidRPr="00CA4A10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CA4A1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Anterior cingulum</w:t>
            </w:r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B1CDA" w14:textId="77777777" w:rsidR="0009083E" w:rsidRPr="00CA4A10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CA4A1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Posterior cingulum</w:t>
            </w:r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  <w:hideMark/>
          </w:tcPr>
          <w:p w14:paraId="44CEA33F" w14:textId="77777777" w:rsidR="0009083E" w:rsidRPr="00CA4A10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CA4A1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Uncinate fasciculus</w:t>
            </w:r>
          </w:p>
        </w:tc>
      </w:tr>
      <w:tr w:rsidR="0009083E" w:rsidRPr="00D91BF1" w14:paraId="0B96A77E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EC160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7137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partial</w:t>
            </w:r>
            <w:proofErr w:type="spellEnd"/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2AA2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p-value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65F8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partial</w:t>
            </w:r>
            <w:proofErr w:type="spellEnd"/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C85B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p-value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2305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partial</w:t>
            </w:r>
            <w:proofErr w:type="spellEnd"/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14:paraId="39C6682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p-value</w:t>
            </w:r>
          </w:p>
        </w:tc>
      </w:tr>
      <w:tr w:rsidR="0009083E" w:rsidRPr="00D91BF1" w14:paraId="1B960EF7" w14:textId="77777777" w:rsidTr="004C01B8">
        <w:trPr>
          <w:trHeight w:val="57"/>
        </w:trPr>
        <w:tc>
          <w:tcPr>
            <w:tcW w:w="1250" w:type="pct"/>
            <w:shd w:val="clear" w:color="auto" w:fill="D9D9D9" w:themeFill="background1" w:themeFillShade="D9"/>
            <w:noWrap/>
            <w:vAlign w:val="bottom"/>
            <w:hideMark/>
          </w:tcPr>
          <w:p w14:paraId="2DA441E6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00000"/>
                <w:sz w:val="20"/>
                <w:szCs w:val="20"/>
              </w:rPr>
              <w:t>Left hemisphere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1180E614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190758B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49E36150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33190511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61E4303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0A19D1E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83E" w:rsidRPr="00D91BF1" w14:paraId="3A9603EC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8EC39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FA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1B4663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-0.336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680B3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0.147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835995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631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-0.541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1074B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0.014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5B0E5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0.109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1E25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0.647</w:t>
            </w:r>
          </w:p>
        </w:tc>
      </w:tr>
      <w:tr w:rsidR="0009083E" w:rsidRPr="00D91BF1" w14:paraId="17BF20A2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13972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MD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A5938C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1A201F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0.142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4F434B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631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0.539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D55BC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0.014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2FB33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-0.11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FB4CD3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0.645</w:t>
            </w:r>
          </w:p>
        </w:tc>
      </w:tr>
      <w:tr w:rsidR="0009083E" w:rsidRPr="00D91BF1" w14:paraId="6664B31E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3A27F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AD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8DAC1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-0.183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FD2E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0.439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1B0558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631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-0.484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A8CC9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BCE17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0.023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21952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0.924</w:t>
            </w:r>
          </w:p>
        </w:tc>
      </w:tr>
      <w:tr w:rsidR="0009083E" w:rsidRPr="00D91BF1" w14:paraId="4BEF05FD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6296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2AE26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0.339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CF91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0.143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2DA9FF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116">
              <w:rPr>
                <w:rFonts w:ascii="Arial" w:hAnsi="Arial" w:cs="Arial"/>
                <w:color w:val="000000" w:themeColor="text1"/>
                <w:sz w:val="20"/>
                <w:szCs w:val="20"/>
              </w:rPr>
              <w:t>0.54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DF7B0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0.014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F516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-0.109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63779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0.647</w:t>
            </w:r>
          </w:p>
        </w:tc>
      </w:tr>
      <w:tr w:rsidR="0009083E" w:rsidRPr="00D91BF1" w14:paraId="059FDDDF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58E9B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FW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FCA60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0.184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7A2C9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0.437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0D72BA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116">
              <w:rPr>
                <w:rFonts w:ascii="Arial" w:hAnsi="Arial" w:cs="Arial"/>
                <w:color w:val="000000" w:themeColor="text1"/>
                <w:sz w:val="20"/>
                <w:szCs w:val="20"/>
              </w:rPr>
              <w:t>0.324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7035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0.164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47FC2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-0.059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1D61D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0.806</w:t>
            </w:r>
          </w:p>
        </w:tc>
      </w:tr>
      <w:tr w:rsidR="0009083E" w:rsidRPr="00D91BF1" w14:paraId="1A35F87B" w14:textId="77777777" w:rsidTr="004C01B8">
        <w:trPr>
          <w:trHeight w:val="57"/>
        </w:trPr>
        <w:tc>
          <w:tcPr>
            <w:tcW w:w="1250" w:type="pct"/>
            <w:shd w:val="clear" w:color="auto" w:fill="D9D9D9" w:themeFill="background1" w:themeFillShade="D9"/>
            <w:vAlign w:val="center"/>
            <w:hideMark/>
          </w:tcPr>
          <w:p w14:paraId="610F647D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Right hemisphere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268EFD42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56968B64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686E60EE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6D896FFC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4C9A1B7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bottom"/>
            <w:hideMark/>
          </w:tcPr>
          <w:p w14:paraId="4F1CAD6C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83E" w:rsidRPr="00D91BF1" w14:paraId="3AC95FED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A3DE8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FA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75C21B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-0.323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A42A9A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0.165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3108B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1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-0.424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9E599F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0.062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0FA4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-0.204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E8DF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0.388</w:t>
            </w:r>
          </w:p>
        </w:tc>
      </w:tr>
      <w:tr w:rsidR="0009083E" w:rsidRPr="00D91BF1" w14:paraId="4391F252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1D219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MD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96027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0.33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E972F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0.156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C1824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116">
              <w:rPr>
                <w:rFonts w:ascii="Arial" w:hAnsi="Arial" w:cs="Arial"/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66EF93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0.059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01B3B8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0.209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58611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0.376</w:t>
            </w:r>
          </w:p>
        </w:tc>
      </w:tr>
      <w:tr w:rsidR="0009083E" w:rsidRPr="00D91BF1" w14:paraId="13F4FD13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9FF8A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AD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9D437A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-0.119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3259D7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0.617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AD61A0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116">
              <w:rPr>
                <w:rFonts w:ascii="Arial" w:hAnsi="Arial" w:cs="Arial"/>
                <w:color w:val="000000" w:themeColor="text1"/>
                <w:sz w:val="20"/>
                <w:szCs w:val="20"/>
              </w:rPr>
              <w:t>-0.241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870CC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0.307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01ACA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-0.215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490FE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0.362</w:t>
            </w:r>
          </w:p>
        </w:tc>
      </w:tr>
      <w:tr w:rsidR="0009083E" w:rsidRPr="00D91BF1" w14:paraId="4C796248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D6CB0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RD</w:t>
            </w:r>
            <w:r w:rsidRPr="00D91BF1">
              <w:rPr>
                <w:rFonts w:ascii="Arial" w:hAnsi="Arial" w:cs="Arial"/>
                <w:color w:val="222222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5F6AEA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0.328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557B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0.158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52F6F9" w14:textId="77777777" w:rsidR="0009083E" w:rsidRPr="00463116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116">
              <w:rPr>
                <w:rFonts w:ascii="Arial" w:hAnsi="Arial" w:cs="Arial"/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99316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0.06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C8AAA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0.21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903CC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0.375</w:t>
            </w:r>
          </w:p>
        </w:tc>
      </w:tr>
      <w:tr w:rsidR="0009083E" w:rsidRPr="00D91BF1" w14:paraId="72FE2818" w14:textId="77777777" w:rsidTr="004C01B8">
        <w:trPr>
          <w:trHeight w:val="57"/>
        </w:trPr>
        <w:tc>
          <w:tcPr>
            <w:tcW w:w="1250" w:type="pct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C4DE1" w14:textId="77777777" w:rsidR="0009083E" w:rsidRPr="00D91BF1" w:rsidRDefault="0009083E" w:rsidP="004C01B8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222222"/>
                <w:sz w:val="20"/>
                <w:szCs w:val="20"/>
              </w:rPr>
              <w:t>FW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0495E4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0.24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F72DE9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0.308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A91491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0.28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86DF1C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0.232</w:t>
            </w:r>
          </w:p>
        </w:tc>
        <w:tc>
          <w:tcPr>
            <w:tcW w:w="625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2A063E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0.137</w:t>
            </w:r>
          </w:p>
        </w:tc>
        <w:tc>
          <w:tcPr>
            <w:tcW w:w="625" w:type="pct"/>
            <w:tcBorders>
              <w:lef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3E66E5" w14:textId="77777777" w:rsidR="0009083E" w:rsidRPr="00D91BF1" w:rsidRDefault="0009083E" w:rsidP="004C01B8">
            <w:pPr>
              <w:spacing w:line="276" w:lineRule="auto"/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D91BF1">
              <w:rPr>
                <w:rFonts w:ascii="Arial" w:hAnsi="Arial" w:cs="Arial"/>
                <w:color w:val="010205"/>
                <w:sz w:val="20"/>
                <w:szCs w:val="20"/>
              </w:rPr>
              <w:t>0.565</w:t>
            </w:r>
          </w:p>
        </w:tc>
      </w:tr>
    </w:tbl>
    <w:p w14:paraId="2A58C0DE" w14:textId="14109F2D" w:rsidR="0009083E" w:rsidRPr="00513E40" w:rsidRDefault="0009083E" w:rsidP="0009083E">
      <w:pPr>
        <w:rPr>
          <w:rFonts w:ascii="Times" w:hAnsi="Times"/>
          <w:sz w:val="22"/>
          <w:szCs w:val="22"/>
        </w:rPr>
      </w:pPr>
      <w:r w:rsidRPr="00513E40">
        <w:rPr>
          <w:sz w:val="22"/>
          <w:szCs w:val="20"/>
        </w:rPr>
        <w:br/>
      </w:r>
      <w:proofErr w:type="spellStart"/>
      <w:r w:rsidRPr="00513E40">
        <w:rPr>
          <w:rFonts w:ascii="Times" w:hAnsi="Times"/>
          <w:sz w:val="22"/>
          <w:szCs w:val="22"/>
        </w:rPr>
        <w:t>R</w:t>
      </w:r>
      <w:r w:rsidRPr="00513E40">
        <w:rPr>
          <w:rFonts w:ascii="Times" w:hAnsi="Times"/>
          <w:sz w:val="22"/>
          <w:szCs w:val="22"/>
          <w:vertAlign w:val="subscript"/>
        </w:rPr>
        <w:t>partial</w:t>
      </w:r>
      <w:proofErr w:type="spellEnd"/>
      <w:r w:rsidRPr="00513E40">
        <w:rPr>
          <w:rFonts w:ascii="Times" w:hAnsi="Times"/>
          <w:sz w:val="22"/>
          <w:szCs w:val="22"/>
        </w:rPr>
        <w:t xml:space="preserve"> and p-values from regression models investigating associations between each diffusion measure (average diffusion measure in the bundle; independent variable) and entorhinal tau across all PREVENT-AD participants (dependent variable) in the top panel and in the </w:t>
      </w:r>
      <w:r w:rsidRPr="00513E40">
        <w:rPr>
          <w:color w:val="222222"/>
          <w:sz w:val="22"/>
          <w:szCs w:val="22"/>
          <w:shd w:val="clear" w:color="auto" w:fill="FFFFFF"/>
        </w:rPr>
        <w:t>tau-positive participants only in the bottom panel</w:t>
      </w:r>
      <w:r w:rsidRPr="00513E40">
        <w:rPr>
          <w:rFonts w:ascii="Times" w:hAnsi="Times"/>
          <w:sz w:val="22"/>
          <w:szCs w:val="22"/>
        </w:rPr>
        <w:t xml:space="preserve">. Models included age, sex, bundle volume (divided by total intracranial volume) as covariates. </w:t>
      </w:r>
    </w:p>
    <w:p w14:paraId="29EBCAEF" w14:textId="5CB72CCE" w:rsidR="0009083E" w:rsidRPr="00513E40" w:rsidRDefault="0009083E" w:rsidP="0009083E">
      <w:pPr>
        <w:rPr>
          <w:rFonts w:ascii="Times" w:hAnsi="Times"/>
          <w:sz w:val="22"/>
          <w:szCs w:val="22"/>
        </w:rPr>
      </w:pPr>
      <w:r w:rsidRPr="00513E40">
        <w:rPr>
          <w:rFonts w:ascii="Times" w:hAnsi="Times"/>
          <w:sz w:val="22"/>
          <w:szCs w:val="22"/>
        </w:rPr>
        <w:t>FA</w:t>
      </w:r>
      <w:r w:rsidRPr="00513E40">
        <w:rPr>
          <w:rFonts w:eastAsiaTheme="minorHAnsi"/>
          <w:color w:val="222222"/>
          <w:sz w:val="22"/>
          <w:szCs w:val="22"/>
          <w:vertAlign w:val="subscript"/>
        </w:rPr>
        <w:t>T</w:t>
      </w:r>
      <w:r w:rsidRPr="00513E40">
        <w:rPr>
          <w:rFonts w:ascii="Times" w:hAnsi="Times"/>
          <w:sz w:val="22"/>
          <w:szCs w:val="22"/>
        </w:rPr>
        <w:t>: tissue fractional anisotropy; MD</w:t>
      </w:r>
      <w:r w:rsidRPr="00513E40">
        <w:rPr>
          <w:rFonts w:eastAsiaTheme="minorHAnsi"/>
          <w:color w:val="222222"/>
          <w:sz w:val="22"/>
          <w:szCs w:val="22"/>
          <w:vertAlign w:val="subscript"/>
        </w:rPr>
        <w:t>T</w:t>
      </w:r>
      <w:r w:rsidRPr="00513E40">
        <w:rPr>
          <w:rFonts w:ascii="Times" w:hAnsi="Times"/>
          <w:sz w:val="22"/>
          <w:szCs w:val="22"/>
        </w:rPr>
        <w:t>: tissue mean diffusivity; AD</w:t>
      </w:r>
      <w:r w:rsidRPr="00513E40">
        <w:rPr>
          <w:rFonts w:eastAsiaTheme="minorHAnsi"/>
          <w:color w:val="222222"/>
          <w:sz w:val="22"/>
          <w:szCs w:val="22"/>
          <w:vertAlign w:val="subscript"/>
        </w:rPr>
        <w:t>T</w:t>
      </w:r>
      <w:r w:rsidRPr="00513E40">
        <w:rPr>
          <w:rFonts w:ascii="Times" w:hAnsi="Times"/>
          <w:sz w:val="22"/>
          <w:szCs w:val="22"/>
        </w:rPr>
        <w:t>: tissue axial diffusivity; RD</w:t>
      </w:r>
      <w:r w:rsidRPr="00513E40">
        <w:rPr>
          <w:rFonts w:eastAsiaTheme="minorHAnsi"/>
          <w:color w:val="222222"/>
          <w:sz w:val="22"/>
          <w:szCs w:val="22"/>
          <w:vertAlign w:val="subscript"/>
        </w:rPr>
        <w:t>T</w:t>
      </w:r>
      <w:r w:rsidRPr="00513E40">
        <w:rPr>
          <w:rFonts w:ascii="Times" w:hAnsi="Times"/>
          <w:sz w:val="22"/>
          <w:szCs w:val="22"/>
        </w:rPr>
        <w:t>: tissue radial diffusivity; FW: free-water index</w:t>
      </w:r>
    </w:p>
    <w:p w14:paraId="55D4F4D6" w14:textId="77777777" w:rsidR="0009083E" w:rsidRPr="00513E40" w:rsidRDefault="0009083E" w:rsidP="0009083E">
      <w:pPr>
        <w:rPr>
          <w:sz w:val="22"/>
          <w:szCs w:val="20"/>
        </w:rPr>
      </w:pPr>
    </w:p>
    <w:p w14:paraId="5941ED32" w14:textId="77777777" w:rsidR="00BA62B5" w:rsidRDefault="00BA62B5"/>
    <w:sectPr w:rsidR="00BA62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3E"/>
    <w:rsid w:val="0009083E"/>
    <w:rsid w:val="00605109"/>
    <w:rsid w:val="00960EB4"/>
    <w:rsid w:val="00BA62B5"/>
    <w:rsid w:val="00DA7A4E"/>
    <w:rsid w:val="00E5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EBA7E"/>
  <w15:chartTrackingRefBased/>
  <w15:docId w15:val="{1BB341C4-E4DE-104D-9A8E-6676282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83E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Pichet Binette</dc:creator>
  <cp:keywords/>
  <dc:description/>
  <cp:lastModifiedBy>Alexa Pichet Binette</cp:lastModifiedBy>
  <cp:revision>1</cp:revision>
  <dcterms:created xsi:type="dcterms:W3CDTF">2021-04-07T20:04:00Z</dcterms:created>
  <dcterms:modified xsi:type="dcterms:W3CDTF">2021-04-07T20:05:00Z</dcterms:modified>
</cp:coreProperties>
</file>