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BD6264" w14:textId="4ED57D58" w:rsidR="0020498D" w:rsidRPr="00812C39" w:rsidRDefault="00931A52" w:rsidP="0020498D">
      <w:pPr>
        <w:spacing w:after="0"/>
        <w:jc w:val="center"/>
        <w:rPr>
          <w:rFonts w:ascii="Helvetica" w:hAnsi="Helvetica" w:cs="Arial"/>
          <w:b/>
          <w:sz w:val="22"/>
          <w:szCs w:val="22"/>
        </w:rPr>
      </w:pPr>
      <w:r w:rsidRPr="00812C39">
        <w:rPr>
          <w:rFonts w:ascii="Helvetica" w:hAnsi="Helvetica" w:cs="Arial"/>
          <w:b/>
          <w:sz w:val="22"/>
          <w:szCs w:val="22"/>
        </w:rPr>
        <w:t>Figure 2—</w:t>
      </w:r>
      <w:r w:rsidR="00D94DB8">
        <w:rPr>
          <w:rFonts w:ascii="Helvetica" w:hAnsi="Helvetica" w:cs="Arial"/>
          <w:b/>
          <w:sz w:val="22"/>
          <w:szCs w:val="22"/>
        </w:rPr>
        <w:t>source data 1</w:t>
      </w:r>
      <w:bookmarkStart w:id="0" w:name="_GoBack"/>
      <w:bookmarkEnd w:id="0"/>
    </w:p>
    <w:p w14:paraId="0006E39C" w14:textId="77777777" w:rsidR="0020498D" w:rsidRPr="00812C39" w:rsidRDefault="0020498D" w:rsidP="0020498D">
      <w:pPr>
        <w:spacing w:after="0"/>
        <w:jc w:val="center"/>
        <w:rPr>
          <w:rFonts w:ascii="Helvetica" w:hAnsi="Helvetica" w:cs="Arial"/>
          <w:b/>
          <w:sz w:val="22"/>
          <w:szCs w:val="22"/>
        </w:rPr>
      </w:pPr>
    </w:p>
    <w:p w14:paraId="23567F89" w14:textId="320A7C3F" w:rsidR="0020498D" w:rsidRPr="00812C39" w:rsidRDefault="0020498D" w:rsidP="0020498D">
      <w:pPr>
        <w:spacing w:after="0"/>
        <w:jc w:val="center"/>
        <w:rPr>
          <w:rFonts w:ascii="Helvetica" w:hAnsi="Helvetica" w:cs="Arial"/>
          <w:b/>
          <w:sz w:val="22"/>
          <w:szCs w:val="22"/>
        </w:rPr>
      </w:pPr>
      <w:r w:rsidRPr="00812C39">
        <w:rPr>
          <w:rFonts w:ascii="Helvetica" w:hAnsi="Helvetica" w:cs="Arial"/>
          <w:b/>
          <w:i/>
          <w:sz w:val="22"/>
          <w:szCs w:val="22"/>
        </w:rPr>
        <w:t>xol-1</w:t>
      </w:r>
      <w:r w:rsidRPr="00812C39">
        <w:rPr>
          <w:rFonts w:ascii="Helvetica" w:hAnsi="Helvetica" w:cs="Arial"/>
          <w:b/>
          <w:sz w:val="22"/>
          <w:szCs w:val="22"/>
        </w:rPr>
        <w:t xml:space="preserve"> transcription</w:t>
      </w:r>
      <w:r w:rsidR="00402840" w:rsidRPr="00812C39">
        <w:rPr>
          <w:rFonts w:ascii="Helvetica" w:hAnsi="Helvetica" w:cs="Arial"/>
          <w:b/>
          <w:sz w:val="22"/>
          <w:szCs w:val="22"/>
        </w:rPr>
        <w:t xml:space="preserve"> is not repressed by high levels of FOX-1</w:t>
      </w:r>
    </w:p>
    <w:p w14:paraId="443ACC4B" w14:textId="77777777" w:rsidR="0020498D" w:rsidRDefault="0020498D" w:rsidP="00B12E96">
      <w:pPr>
        <w:spacing w:after="0"/>
        <w:rPr>
          <w:rFonts w:ascii="Arial" w:hAnsi="Arial" w:cs="Arial"/>
          <w:sz w:val="22"/>
          <w:szCs w:val="22"/>
        </w:rPr>
      </w:pPr>
    </w:p>
    <w:p w14:paraId="366514A1" w14:textId="77777777" w:rsidR="0020498D" w:rsidRDefault="0020498D" w:rsidP="00B12E96">
      <w:pPr>
        <w:spacing w:after="0"/>
        <w:rPr>
          <w:rFonts w:ascii="Arial" w:hAnsi="Arial" w:cs="Arial"/>
          <w:sz w:val="22"/>
          <w:szCs w:val="22"/>
        </w:rPr>
      </w:pPr>
    </w:p>
    <w:tbl>
      <w:tblPr>
        <w:tblStyle w:val="TableGrid"/>
        <w:tblW w:w="10080"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250"/>
        <w:gridCol w:w="450"/>
        <w:gridCol w:w="1350"/>
        <w:gridCol w:w="1507"/>
        <w:gridCol w:w="1508"/>
        <w:gridCol w:w="1507"/>
        <w:gridCol w:w="1508"/>
      </w:tblGrid>
      <w:tr w:rsidR="00246BE0" w:rsidRPr="00812C39" w14:paraId="2D64BEE8" w14:textId="77777777" w:rsidTr="00246BE0">
        <w:trPr>
          <w:trHeight w:val="510"/>
        </w:trPr>
        <w:tc>
          <w:tcPr>
            <w:tcW w:w="4050" w:type="dxa"/>
            <w:gridSpan w:val="3"/>
            <w:tcBorders>
              <w:top w:val="single" w:sz="12" w:space="0" w:color="auto"/>
              <w:bottom w:val="nil"/>
            </w:tcBorders>
            <w:vAlign w:val="center"/>
          </w:tcPr>
          <w:p w14:paraId="16342367" w14:textId="77777777" w:rsidR="00246BE0" w:rsidRPr="00812C39" w:rsidRDefault="00246BE0" w:rsidP="00246BE0">
            <w:pPr>
              <w:rPr>
                <w:rFonts w:ascii="Helvetica" w:hAnsi="Helvetica"/>
              </w:rPr>
            </w:pPr>
          </w:p>
        </w:tc>
        <w:tc>
          <w:tcPr>
            <w:tcW w:w="6030" w:type="dxa"/>
            <w:gridSpan w:val="4"/>
            <w:tcBorders>
              <w:top w:val="single" w:sz="12" w:space="0" w:color="auto"/>
            </w:tcBorders>
            <w:vAlign w:val="center"/>
          </w:tcPr>
          <w:p w14:paraId="693EE85A" w14:textId="77777777" w:rsidR="00246BE0" w:rsidRPr="00812C39" w:rsidRDefault="00246BE0" w:rsidP="00246BE0">
            <w:pPr>
              <w:jc w:val="center"/>
              <w:rPr>
                <w:rFonts w:ascii="Helvetica" w:hAnsi="Helvetica"/>
              </w:rPr>
            </w:pPr>
            <w:r w:rsidRPr="00812C39">
              <w:rPr>
                <w:rFonts w:ascii="Helvetica" w:hAnsi="Helvetica" w:cs="Arial"/>
                <w:sz w:val="22"/>
                <w:szCs w:val="22"/>
              </w:rPr>
              <w:t>Transcript measured by qRT-PCR</w:t>
            </w:r>
          </w:p>
        </w:tc>
      </w:tr>
      <w:tr w:rsidR="00246BE0" w:rsidRPr="00812C39" w14:paraId="17A9F639" w14:textId="77777777" w:rsidTr="00246BE0">
        <w:trPr>
          <w:trHeight w:val="521"/>
        </w:trPr>
        <w:tc>
          <w:tcPr>
            <w:tcW w:w="4050" w:type="dxa"/>
            <w:gridSpan w:val="3"/>
            <w:tcBorders>
              <w:top w:val="nil"/>
              <w:bottom w:val="single" w:sz="4" w:space="0" w:color="auto"/>
            </w:tcBorders>
            <w:vAlign w:val="center"/>
          </w:tcPr>
          <w:p w14:paraId="0CFC8793" w14:textId="77777777" w:rsidR="00246BE0" w:rsidRPr="00812C39" w:rsidRDefault="00246BE0" w:rsidP="00246BE0">
            <w:pPr>
              <w:rPr>
                <w:rFonts w:ascii="Helvetica" w:hAnsi="Helvetica"/>
              </w:rPr>
            </w:pPr>
            <w:r w:rsidRPr="00812C39">
              <w:rPr>
                <w:rFonts w:ascii="Helvetica" w:hAnsi="Helvetica" w:cs="Arial"/>
                <w:sz w:val="22"/>
                <w:szCs w:val="22"/>
              </w:rPr>
              <w:t>Genotype</w:t>
            </w:r>
            <w:r w:rsidRPr="00812C39">
              <w:rPr>
                <w:rFonts w:ascii="Helvetica" w:hAnsi="Helvetica" w:cs="Arial"/>
                <w:i/>
                <w:sz w:val="22"/>
                <w:szCs w:val="22"/>
                <w:vertAlign w:val="superscript"/>
              </w:rPr>
              <w:t>a</w:t>
            </w:r>
          </w:p>
        </w:tc>
        <w:tc>
          <w:tcPr>
            <w:tcW w:w="1507" w:type="dxa"/>
            <w:tcBorders>
              <w:bottom w:val="single" w:sz="4" w:space="0" w:color="auto"/>
            </w:tcBorders>
            <w:vAlign w:val="center"/>
          </w:tcPr>
          <w:p w14:paraId="4EE9DC35" w14:textId="77777777" w:rsidR="00246BE0" w:rsidRPr="00812C39" w:rsidRDefault="00246BE0" w:rsidP="00366481">
            <w:pPr>
              <w:jc w:val="center"/>
              <w:rPr>
                <w:rFonts w:ascii="Helvetica" w:hAnsi="Helvetica"/>
                <w:i/>
              </w:rPr>
            </w:pPr>
            <w:r w:rsidRPr="00812C39">
              <w:rPr>
                <w:rFonts w:ascii="Helvetica" w:hAnsi="Helvetica" w:cs="Arial"/>
                <w:i/>
                <w:sz w:val="22"/>
                <w:szCs w:val="22"/>
              </w:rPr>
              <w:t>xol-1</w:t>
            </w:r>
            <w:r w:rsidRPr="00812C39">
              <w:rPr>
                <w:rFonts w:ascii="Helvetica" w:hAnsi="Helvetica" w:cs="Arial"/>
                <w:i/>
                <w:sz w:val="22"/>
                <w:szCs w:val="22"/>
                <w:vertAlign w:val="superscript"/>
              </w:rPr>
              <w:t>b</w:t>
            </w:r>
          </w:p>
        </w:tc>
        <w:tc>
          <w:tcPr>
            <w:tcW w:w="1508" w:type="dxa"/>
            <w:tcBorders>
              <w:bottom w:val="single" w:sz="4" w:space="0" w:color="auto"/>
            </w:tcBorders>
            <w:vAlign w:val="center"/>
          </w:tcPr>
          <w:p w14:paraId="7CB1B3DE" w14:textId="77777777" w:rsidR="00246BE0" w:rsidRPr="00812C39" w:rsidRDefault="00246BE0" w:rsidP="00366481">
            <w:pPr>
              <w:jc w:val="center"/>
              <w:rPr>
                <w:rFonts w:ascii="Helvetica" w:hAnsi="Helvetica"/>
                <w:i/>
              </w:rPr>
            </w:pPr>
            <w:r w:rsidRPr="00812C39">
              <w:rPr>
                <w:rFonts w:ascii="Helvetica" w:hAnsi="Helvetica" w:cs="Arial"/>
                <w:i/>
                <w:sz w:val="22"/>
                <w:szCs w:val="22"/>
              </w:rPr>
              <w:t>nhr-64</w:t>
            </w:r>
            <w:r w:rsidRPr="00812C39">
              <w:rPr>
                <w:rFonts w:ascii="Helvetica" w:hAnsi="Helvetica" w:cs="Arial"/>
                <w:i/>
                <w:sz w:val="22"/>
                <w:szCs w:val="22"/>
                <w:vertAlign w:val="superscript"/>
              </w:rPr>
              <w:t>b</w:t>
            </w:r>
          </w:p>
        </w:tc>
        <w:tc>
          <w:tcPr>
            <w:tcW w:w="1507" w:type="dxa"/>
            <w:tcBorders>
              <w:bottom w:val="single" w:sz="4" w:space="0" w:color="auto"/>
            </w:tcBorders>
            <w:vAlign w:val="center"/>
          </w:tcPr>
          <w:p w14:paraId="484E4AF4" w14:textId="77777777" w:rsidR="00246BE0" w:rsidRPr="00812C39" w:rsidRDefault="00246BE0" w:rsidP="00366481">
            <w:pPr>
              <w:jc w:val="center"/>
              <w:rPr>
                <w:rFonts w:ascii="Helvetica" w:hAnsi="Helvetica"/>
                <w:i/>
              </w:rPr>
            </w:pPr>
            <w:r w:rsidRPr="00812C39">
              <w:rPr>
                <w:rFonts w:ascii="Helvetica" w:hAnsi="Helvetica" w:cs="Arial"/>
                <w:i/>
                <w:sz w:val="22"/>
                <w:szCs w:val="22"/>
              </w:rPr>
              <w:t>xol-1</w:t>
            </w:r>
            <w:r w:rsidRPr="00812C39">
              <w:rPr>
                <w:rFonts w:ascii="Helvetica" w:hAnsi="Helvetica" w:cs="Arial"/>
                <w:i/>
                <w:sz w:val="22"/>
                <w:szCs w:val="22"/>
                <w:vertAlign w:val="superscript"/>
              </w:rPr>
              <w:t>c</w:t>
            </w:r>
          </w:p>
        </w:tc>
        <w:tc>
          <w:tcPr>
            <w:tcW w:w="1508" w:type="dxa"/>
            <w:tcBorders>
              <w:bottom w:val="single" w:sz="4" w:space="0" w:color="auto"/>
            </w:tcBorders>
            <w:vAlign w:val="center"/>
          </w:tcPr>
          <w:p w14:paraId="7E9E3D7E" w14:textId="77777777" w:rsidR="00246BE0" w:rsidRPr="00812C39" w:rsidRDefault="00246BE0" w:rsidP="00366481">
            <w:pPr>
              <w:jc w:val="center"/>
              <w:rPr>
                <w:rFonts w:ascii="Helvetica" w:hAnsi="Helvetica" w:cs="Arial"/>
                <w:sz w:val="22"/>
                <w:szCs w:val="22"/>
              </w:rPr>
            </w:pPr>
            <w:r w:rsidRPr="00812C39">
              <w:rPr>
                <w:rFonts w:ascii="Helvetica" w:hAnsi="Helvetica" w:cs="Arial"/>
                <w:i/>
                <w:sz w:val="22"/>
                <w:szCs w:val="22"/>
              </w:rPr>
              <w:t>fasn-1</w:t>
            </w:r>
            <w:r w:rsidRPr="00812C39">
              <w:rPr>
                <w:rFonts w:ascii="Helvetica" w:hAnsi="Helvetica" w:cs="Arial"/>
                <w:i/>
                <w:sz w:val="22"/>
                <w:szCs w:val="22"/>
                <w:vertAlign w:val="superscript"/>
              </w:rPr>
              <w:t>c</w:t>
            </w:r>
          </w:p>
        </w:tc>
      </w:tr>
      <w:tr w:rsidR="00246BE0" w:rsidRPr="00812C39" w14:paraId="2A8FD563" w14:textId="77777777" w:rsidTr="00246BE0">
        <w:trPr>
          <w:trHeight w:val="449"/>
        </w:trPr>
        <w:tc>
          <w:tcPr>
            <w:tcW w:w="2250" w:type="dxa"/>
            <w:tcBorders>
              <w:bottom w:val="nil"/>
            </w:tcBorders>
            <w:tcMar>
              <w:left w:w="115" w:type="dxa"/>
              <w:right w:w="0" w:type="dxa"/>
            </w:tcMar>
            <w:vAlign w:val="center"/>
          </w:tcPr>
          <w:p w14:paraId="6E57AE76" w14:textId="77777777" w:rsidR="00246BE0" w:rsidRPr="00812C39" w:rsidRDefault="00246BE0" w:rsidP="00246BE0">
            <w:pPr>
              <w:rPr>
                <w:rFonts w:ascii="Helvetica" w:hAnsi="Helvetica"/>
              </w:rPr>
            </w:pPr>
            <w:r w:rsidRPr="00812C39">
              <w:rPr>
                <w:rFonts w:ascii="Helvetica" w:hAnsi="Helvetica" w:cs="Arial"/>
                <w:i/>
                <w:sz w:val="22"/>
                <w:szCs w:val="22"/>
              </w:rPr>
              <w:t>yIs44(fox-1); him-5</w:t>
            </w:r>
          </w:p>
        </w:tc>
        <w:tc>
          <w:tcPr>
            <w:tcW w:w="450" w:type="dxa"/>
            <w:tcBorders>
              <w:bottom w:val="nil"/>
            </w:tcBorders>
            <w:tcMar>
              <w:left w:w="0" w:type="dxa"/>
              <w:right w:w="0" w:type="dxa"/>
            </w:tcMar>
            <w:vAlign w:val="center"/>
          </w:tcPr>
          <w:p w14:paraId="34CCE931" w14:textId="77777777" w:rsidR="00246BE0" w:rsidRPr="00812C39" w:rsidRDefault="00246BE0" w:rsidP="00246BE0">
            <w:pPr>
              <w:rPr>
                <w:rFonts w:ascii="Helvetica" w:hAnsi="Helvetica"/>
              </w:rPr>
            </w:pPr>
            <w:r w:rsidRPr="00812C39">
              <w:rPr>
                <w:rFonts w:ascii="Helvetica" w:hAnsi="Helvetica" w:cs="Arial"/>
                <w:sz w:val="22"/>
                <w:szCs w:val="22"/>
              </w:rPr>
              <w:t>vs.</w:t>
            </w:r>
          </w:p>
        </w:tc>
        <w:tc>
          <w:tcPr>
            <w:tcW w:w="1350" w:type="dxa"/>
            <w:tcBorders>
              <w:bottom w:val="nil"/>
            </w:tcBorders>
            <w:vAlign w:val="center"/>
          </w:tcPr>
          <w:p w14:paraId="341ACE40" w14:textId="77777777" w:rsidR="00246BE0" w:rsidRPr="00812C39" w:rsidRDefault="00246BE0" w:rsidP="00246BE0">
            <w:pPr>
              <w:ind w:left="-108"/>
              <w:jc w:val="center"/>
              <w:rPr>
                <w:rFonts w:ascii="Helvetica" w:hAnsi="Helvetica"/>
              </w:rPr>
            </w:pPr>
            <w:r w:rsidRPr="00812C39">
              <w:rPr>
                <w:rFonts w:ascii="Helvetica" w:hAnsi="Helvetica" w:cs="Arial"/>
                <w:i/>
                <w:sz w:val="22"/>
                <w:szCs w:val="22"/>
              </w:rPr>
              <w:t>him-5</w:t>
            </w:r>
          </w:p>
        </w:tc>
        <w:tc>
          <w:tcPr>
            <w:tcW w:w="1507" w:type="dxa"/>
            <w:tcBorders>
              <w:bottom w:val="nil"/>
            </w:tcBorders>
            <w:vAlign w:val="center"/>
          </w:tcPr>
          <w:p w14:paraId="036731BD" w14:textId="77777777" w:rsidR="00246BE0" w:rsidRPr="00812C39" w:rsidRDefault="00246BE0" w:rsidP="00366481">
            <w:pPr>
              <w:jc w:val="center"/>
              <w:rPr>
                <w:rFonts w:ascii="Helvetica" w:hAnsi="Helvetica"/>
              </w:rPr>
            </w:pPr>
            <w:r w:rsidRPr="00812C39">
              <w:rPr>
                <w:rFonts w:ascii="Helvetica" w:hAnsi="Helvetica" w:cs="Arial"/>
                <w:sz w:val="22"/>
                <w:szCs w:val="22"/>
              </w:rPr>
              <w:t>1.86 ± 0.14</w:t>
            </w:r>
          </w:p>
        </w:tc>
        <w:tc>
          <w:tcPr>
            <w:tcW w:w="1508" w:type="dxa"/>
            <w:tcBorders>
              <w:bottom w:val="nil"/>
            </w:tcBorders>
            <w:vAlign w:val="center"/>
          </w:tcPr>
          <w:p w14:paraId="28EBD3E3" w14:textId="77777777" w:rsidR="00246BE0" w:rsidRPr="00812C39" w:rsidRDefault="00246BE0" w:rsidP="00366481">
            <w:pPr>
              <w:jc w:val="center"/>
              <w:rPr>
                <w:rFonts w:ascii="Helvetica" w:hAnsi="Helvetica"/>
              </w:rPr>
            </w:pPr>
            <w:r w:rsidRPr="00812C39">
              <w:rPr>
                <w:rFonts w:ascii="Helvetica" w:hAnsi="Helvetica" w:cs="Arial"/>
                <w:sz w:val="22"/>
                <w:szCs w:val="22"/>
              </w:rPr>
              <w:t>1.17 ± 0.10</w:t>
            </w:r>
          </w:p>
        </w:tc>
        <w:tc>
          <w:tcPr>
            <w:tcW w:w="1507" w:type="dxa"/>
            <w:tcBorders>
              <w:bottom w:val="nil"/>
            </w:tcBorders>
            <w:vAlign w:val="center"/>
          </w:tcPr>
          <w:p w14:paraId="7A2C7617" w14:textId="77777777" w:rsidR="00246BE0" w:rsidRPr="00812C39" w:rsidRDefault="00246BE0" w:rsidP="00366481">
            <w:pPr>
              <w:jc w:val="center"/>
              <w:rPr>
                <w:rFonts w:ascii="Helvetica" w:hAnsi="Helvetica"/>
              </w:rPr>
            </w:pPr>
            <w:r w:rsidRPr="00812C39">
              <w:rPr>
                <w:rFonts w:ascii="Helvetica" w:hAnsi="Helvetica" w:cs="Arial"/>
                <w:sz w:val="22"/>
                <w:szCs w:val="22"/>
              </w:rPr>
              <w:t>1.80 ± 0.27</w:t>
            </w:r>
          </w:p>
        </w:tc>
        <w:tc>
          <w:tcPr>
            <w:tcW w:w="1508" w:type="dxa"/>
            <w:tcBorders>
              <w:bottom w:val="nil"/>
            </w:tcBorders>
            <w:vAlign w:val="center"/>
          </w:tcPr>
          <w:p w14:paraId="16BB4D44" w14:textId="77777777" w:rsidR="00246BE0" w:rsidRPr="00812C39" w:rsidRDefault="00246BE0" w:rsidP="00366481">
            <w:pPr>
              <w:jc w:val="center"/>
              <w:rPr>
                <w:rFonts w:ascii="Helvetica" w:hAnsi="Helvetica"/>
              </w:rPr>
            </w:pPr>
            <w:r w:rsidRPr="00812C39">
              <w:rPr>
                <w:rFonts w:ascii="Helvetica" w:hAnsi="Helvetica" w:cs="Arial"/>
                <w:sz w:val="22"/>
                <w:szCs w:val="22"/>
              </w:rPr>
              <w:t>0.93 ± 0.08</w:t>
            </w:r>
          </w:p>
        </w:tc>
      </w:tr>
      <w:tr w:rsidR="00246BE0" w:rsidRPr="00812C39" w14:paraId="6ED05606" w14:textId="77777777" w:rsidTr="00246BE0">
        <w:tc>
          <w:tcPr>
            <w:tcW w:w="2250" w:type="dxa"/>
            <w:tcBorders>
              <w:top w:val="nil"/>
              <w:bottom w:val="nil"/>
            </w:tcBorders>
            <w:vAlign w:val="center"/>
          </w:tcPr>
          <w:p w14:paraId="6AFA0CD5" w14:textId="77777777" w:rsidR="00246BE0" w:rsidRPr="00812C39" w:rsidRDefault="00246BE0" w:rsidP="00246BE0">
            <w:pPr>
              <w:jc w:val="center"/>
              <w:rPr>
                <w:rFonts w:ascii="Helvetica" w:hAnsi="Helvetica"/>
              </w:rPr>
            </w:pPr>
            <w:r w:rsidRPr="00812C39">
              <w:rPr>
                <w:rFonts w:ascii="Helvetica" w:hAnsi="Helvetica" w:cs="Arial"/>
                <w:sz w:val="22"/>
                <w:szCs w:val="22"/>
              </w:rPr>
              <w:t>XX &amp; XO</w:t>
            </w:r>
          </w:p>
        </w:tc>
        <w:tc>
          <w:tcPr>
            <w:tcW w:w="450" w:type="dxa"/>
            <w:tcBorders>
              <w:top w:val="nil"/>
              <w:bottom w:val="nil"/>
            </w:tcBorders>
            <w:vAlign w:val="center"/>
          </w:tcPr>
          <w:p w14:paraId="15CB275D" w14:textId="77777777" w:rsidR="00246BE0" w:rsidRPr="00812C39" w:rsidRDefault="00246BE0" w:rsidP="00246BE0">
            <w:pPr>
              <w:ind w:left="-108"/>
              <w:jc w:val="center"/>
              <w:rPr>
                <w:rFonts w:ascii="Helvetica" w:hAnsi="Helvetica"/>
              </w:rPr>
            </w:pPr>
          </w:p>
        </w:tc>
        <w:tc>
          <w:tcPr>
            <w:tcW w:w="1350" w:type="dxa"/>
            <w:tcBorders>
              <w:top w:val="nil"/>
              <w:bottom w:val="nil"/>
            </w:tcBorders>
            <w:vAlign w:val="center"/>
          </w:tcPr>
          <w:p w14:paraId="2DB1E87D" w14:textId="77777777" w:rsidR="00246BE0" w:rsidRPr="00812C39" w:rsidRDefault="00246BE0" w:rsidP="00246BE0">
            <w:pPr>
              <w:ind w:left="-108"/>
              <w:jc w:val="center"/>
              <w:rPr>
                <w:rFonts w:ascii="Helvetica" w:hAnsi="Helvetica"/>
              </w:rPr>
            </w:pPr>
            <w:r w:rsidRPr="00812C39">
              <w:rPr>
                <w:rFonts w:ascii="Helvetica" w:hAnsi="Helvetica" w:cs="Arial"/>
                <w:sz w:val="22"/>
                <w:szCs w:val="22"/>
              </w:rPr>
              <w:t>XX &amp; XO</w:t>
            </w:r>
          </w:p>
        </w:tc>
        <w:tc>
          <w:tcPr>
            <w:tcW w:w="1507" w:type="dxa"/>
            <w:tcBorders>
              <w:top w:val="nil"/>
              <w:bottom w:val="nil"/>
            </w:tcBorders>
            <w:vAlign w:val="center"/>
          </w:tcPr>
          <w:p w14:paraId="1D30C4C0" w14:textId="77777777" w:rsidR="00246BE0" w:rsidRPr="00812C39" w:rsidRDefault="00246BE0" w:rsidP="00366481">
            <w:pPr>
              <w:jc w:val="center"/>
              <w:rPr>
                <w:rFonts w:ascii="Helvetica" w:hAnsi="Helvetica"/>
              </w:rPr>
            </w:pPr>
          </w:p>
        </w:tc>
        <w:tc>
          <w:tcPr>
            <w:tcW w:w="1508" w:type="dxa"/>
            <w:tcBorders>
              <w:top w:val="nil"/>
              <w:bottom w:val="nil"/>
            </w:tcBorders>
            <w:vAlign w:val="center"/>
          </w:tcPr>
          <w:p w14:paraId="72F8BC35" w14:textId="77777777" w:rsidR="00246BE0" w:rsidRPr="00812C39" w:rsidRDefault="00246BE0" w:rsidP="00366481">
            <w:pPr>
              <w:jc w:val="center"/>
              <w:rPr>
                <w:rFonts w:ascii="Helvetica" w:hAnsi="Helvetica"/>
              </w:rPr>
            </w:pPr>
          </w:p>
        </w:tc>
        <w:tc>
          <w:tcPr>
            <w:tcW w:w="1507" w:type="dxa"/>
            <w:tcBorders>
              <w:top w:val="nil"/>
              <w:bottom w:val="nil"/>
            </w:tcBorders>
            <w:vAlign w:val="center"/>
          </w:tcPr>
          <w:p w14:paraId="4B5941E0" w14:textId="77777777" w:rsidR="00246BE0" w:rsidRPr="00812C39" w:rsidRDefault="00246BE0" w:rsidP="00366481">
            <w:pPr>
              <w:jc w:val="center"/>
              <w:rPr>
                <w:rFonts w:ascii="Helvetica" w:hAnsi="Helvetica"/>
              </w:rPr>
            </w:pPr>
          </w:p>
        </w:tc>
        <w:tc>
          <w:tcPr>
            <w:tcW w:w="1508" w:type="dxa"/>
            <w:tcBorders>
              <w:top w:val="nil"/>
              <w:bottom w:val="nil"/>
            </w:tcBorders>
            <w:vAlign w:val="center"/>
          </w:tcPr>
          <w:p w14:paraId="3A411BB2" w14:textId="77777777" w:rsidR="00246BE0" w:rsidRPr="00812C39" w:rsidRDefault="00246BE0" w:rsidP="00366481">
            <w:pPr>
              <w:jc w:val="center"/>
              <w:rPr>
                <w:rFonts w:ascii="Helvetica" w:hAnsi="Helvetica"/>
              </w:rPr>
            </w:pPr>
          </w:p>
        </w:tc>
      </w:tr>
      <w:tr w:rsidR="00246BE0" w:rsidRPr="00812C39" w14:paraId="5FDB4A4B" w14:textId="77777777" w:rsidTr="00246BE0">
        <w:tc>
          <w:tcPr>
            <w:tcW w:w="4050" w:type="dxa"/>
            <w:gridSpan w:val="3"/>
            <w:tcBorders>
              <w:top w:val="nil"/>
              <w:bottom w:val="nil"/>
            </w:tcBorders>
            <w:vAlign w:val="center"/>
          </w:tcPr>
          <w:p w14:paraId="498126A1" w14:textId="77777777" w:rsidR="00246BE0" w:rsidRPr="00812C39" w:rsidRDefault="00246BE0" w:rsidP="00246BE0">
            <w:pPr>
              <w:jc w:val="center"/>
              <w:rPr>
                <w:rFonts w:ascii="Helvetica" w:hAnsi="Helvetica" w:cs="Arial"/>
                <w:i/>
                <w:sz w:val="22"/>
                <w:szCs w:val="22"/>
              </w:rPr>
            </w:pPr>
          </w:p>
        </w:tc>
        <w:tc>
          <w:tcPr>
            <w:tcW w:w="1507" w:type="dxa"/>
            <w:tcBorders>
              <w:top w:val="nil"/>
              <w:bottom w:val="nil"/>
            </w:tcBorders>
            <w:vAlign w:val="center"/>
          </w:tcPr>
          <w:p w14:paraId="7AB3D177" w14:textId="77777777" w:rsidR="00246BE0" w:rsidRPr="00812C39" w:rsidRDefault="00246BE0" w:rsidP="00366481">
            <w:pPr>
              <w:jc w:val="center"/>
              <w:rPr>
                <w:rFonts w:ascii="Helvetica" w:hAnsi="Helvetica" w:cs="Arial"/>
                <w:sz w:val="22"/>
                <w:szCs w:val="22"/>
              </w:rPr>
            </w:pPr>
          </w:p>
        </w:tc>
        <w:tc>
          <w:tcPr>
            <w:tcW w:w="1508" w:type="dxa"/>
            <w:tcBorders>
              <w:top w:val="nil"/>
              <w:bottom w:val="nil"/>
            </w:tcBorders>
            <w:vAlign w:val="center"/>
          </w:tcPr>
          <w:p w14:paraId="5F77C068" w14:textId="77777777" w:rsidR="00246BE0" w:rsidRPr="00812C39" w:rsidRDefault="00246BE0" w:rsidP="00366481">
            <w:pPr>
              <w:jc w:val="center"/>
              <w:rPr>
                <w:rFonts w:ascii="Helvetica" w:hAnsi="Helvetica" w:cs="Arial"/>
                <w:sz w:val="22"/>
                <w:szCs w:val="22"/>
              </w:rPr>
            </w:pPr>
          </w:p>
        </w:tc>
        <w:tc>
          <w:tcPr>
            <w:tcW w:w="1507" w:type="dxa"/>
            <w:tcBorders>
              <w:top w:val="nil"/>
              <w:bottom w:val="nil"/>
            </w:tcBorders>
            <w:vAlign w:val="center"/>
          </w:tcPr>
          <w:p w14:paraId="101D517E" w14:textId="77777777" w:rsidR="00246BE0" w:rsidRPr="00812C39" w:rsidRDefault="00246BE0" w:rsidP="00366481">
            <w:pPr>
              <w:jc w:val="center"/>
              <w:rPr>
                <w:rFonts w:ascii="Helvetica" w:hAnsi="Helvetica" w:cs="Arial"/>
                <w:sz w:val="22"/>
                <w:szCs w:val="22"/>
              </w:rPr>
            </w:pPr>
          </w:p>
        </w:tc>
        <w:tc>
          <w:tcPr>
            <w:tcW w:w="1508" w:type="dxa"/>
            <w:tcBorders>
              <w:top w:val="nil"/>
              <w:bottom w:val="nil"/>
            </w:tcBorders>
            <w:vAlign w:val="center"/>
          </w:tcPr>
          <w:p w14:paraId="4FCBFDFA" w14:textId="77777777" w:rsidR="00246BE0" w:rsidRPr="00812C39" w:rsidRDefault="00246BE0" w:rsidP="00366481">
            <w:pPr>
              <w:jc w:val="center"/>
              <w:rPr>
                <w:rFonts w:ascii="Helvetica" w:hAnsi="Helvetica" w:cs="Arial"/>
                <w:sz w:val="22"/>
                <w:szCs w:val="22"/>
              </w:rPr>
            </w:pPr>
          </w:p>
        </w:tc>
      </w:tr>
      <w:tr w:rsidR="00246BE0" w:rsidRPr="00812C39" w14:paraId="1B4729BD" w14:textId="77777777" w:rsidTr="00246BE0">
        <w:trPr>
          <w:trHeight w:val="369"/>
        </w:trPr>
        <w:tc>
          <w:tcPr>
            <w:tcW w:w="2250" w:type="dxa"/>
            <w:tcBorders>
              <w:top w:val="nil"/>
              <w:bottom w:val="nil"/>
            </w:tcBorders>
            <w:tcMar>
              <w:left w:w="115" w:type="dxa"/>
              <w:right w:w="0" w:type="dxa"/>
            </w:tcMar>
            <w:vAlign w:val="center"/>
          </w:tcPr>
          <w:p w14:paraId="7ABDFD5A" w14:textId="77777777" w:rsidR="00246BE0" w:rsidRPr="00812C39" w:rsidRDefault="00246BE0" w:rsidP="00246BE0">
            <w:pPr>
              <w:ind w:firstLine="425"/>
              <w:rPr>
                <w:rFonts w:ascii="Helvetica" w:hAnsi="Helvetica"/>
              </w:rPr>
            </w:pPr>
            <w:r w:rsidRPr="00812C39">
              <w:rPr>
                <w:rFonts w:ascii="Helvetica" w:hAnsi="Helvetica" w:cs="Arial"/>
                <w:i/>
                <w:sz w:val="22"/>
                <w:szCs w:val="22"/>
              </w:rPr>
              <w:t>yIs44(fox-1)</w:t>
            </w:r>
          </w:p>
        </w:tc>
        <w:tc>
          <w:tcPr>
            <w:tcW w:w="450" w:type="dxa"/>
            <w:tcBorders>
              <w:top w:val="nil"/>
              <w:bottom w:val="nil"/>
            </w:tcBorders>
            <w:tcMar>
              <w:left w:w="0" w:type="dxa"/>
              <w:right w:w="0" w:type="dxa"/>
            </w:tcMar>
            <w:vAlign w:val="center"/>
          </w:tcPr>
          <w:p w14:paraId="65AD6B4A" w14:textId="77777777" w:rsidR="00246BE0" w:rsidRPr="00812C39" w:rsidRDefault="00246BE0" w:rsidP="00246BE0">
            <w:pPr>
              <w:rPr>
                <w:rFonts w:ascii="Helvetica" w:hAnsi="Helvetica"/>
              </w:rPr>
            </w:pPr>
            <w:r w:rsidRPr="00812C39">
              <w:rPr>
                <w:rFonts w:ascii="Helvetica" w:hAnsi="Helvetica" w:cs="Arial"/>
                <w:sz w:val="22"/>
                <w:szCs w:val="22"/>
              </w:rPr>
              <w:t>vs.</w:t>
            </w:r>
          </w:p>
        </w:tc>
        <w:tc>
          <w:tcPr>
            <w:tcW w:w="1350" w:type="dxa"/>
            <w:tcBorders>
              <w:top w:val="nil"/>
              <w:bottom w:val="nil"/>
            </w:tcBorders>
            <w:vAlign w:val="center"/>
          </w:tcPr>
          <w:p w14:paraId="48F9F0FD" w14:textId="77777777" w:rsidR="00246BE0" w:rsidRPr="00812C39" w:rsidRDefault="00246BE0" w:rsidP="00246BE0">
            <w:pPr>
              <w:ind w:left="-108"/>
              <w:jc w:val="center"/>
              <w:rPr>
                <w:rFonts w:ascii="Helvetica" w:hAnsi="Helvetica"/>
              </w:rPr>
            </w:pPr>
            <w:r w:rsidRPr="00812C39">
              <w:rPr>
                <w:rFonts w:ascii="Helvetica" w:hAnsi="Helvetica" w:cs="Arial"/>
                <w:sz w:val="22"/>
                <w:szCs w:val="22"/>
              </w:rPr>
              <w:t>wild-type</w:t>
            </w:r>
          </w:p>
        </w:tc>
        <w:tc>
          <w:tcPr>
            <w:tcW w:w="1507" w:type="dxa"/>
            <w:tcBorders>
              <w:top w:val="nil"/>
              <w:bottom w:val="nil"/>
            </w:tcBorders>
            <w:vAlign w:val="center"/>
          </w:tcPr>
          <w:p w14:paraId="379F0476" w14:textId="77777777" w:rsidR="00246BE0" w:rsidRPr="00812C39" w:rsidRDefault="00246BE0" w:rsidP="00366481">
            <w:pPr>
              <w:jc w:val="center"/>
              <w:rPr>
                <w:rFonts w:ascii="Helvetica" w:hAnsi="Helvetica"/>
              </w:rPr>
            </w:pPr>
            <w:r w:rsidRPr="00812C39">
              <w:rPr>
                <w:rFonts w:ascii="Helvetica" w:hAnsi="Helvetica" w:cs="Arial"/>
                <w:sz w:val="22"/>
                <w:szCs w:val="22"/>
              </w:rPr>
              <w:t>2.55 ± 0.27</w:t>
            </w:r>
          </w:p>
        </w:tc>
        <w:tc>
          <w:tcPr>
            <w:tcW w:w="1508" w:type="dxa"/>
            <w:tcBorders>
              <w:top w:val="nil"/>
              <w:bottom w:val="nil"/>
            </w:tcBorders>
            <w:vAlign w:val="center"/>
          </w:tcPr>
          <w:p w14:paraId="6A7AE194" w14:textId="77777777" w:rsidR="00246BE0" w:rsidRPr="00812C39" w:rsidRDefault="00246BE0" w:rsidP="00366481">
            <w:pPr>
              <w:jc w:val="center"/>
              <w:rPr>
                <w:rFonts w:ascii="Helvetica" w:hAnsi="Helvetica"/>
              </w:rPr>
            </w:pPr>
            <w:r w:rsidRPr="00812C39">
              <w:rPr>
                <w:rFonts w:ascii="Helvetica" w:hAnsi="Helvetica" w:cs="Arial"/>
                <w:sz w:val="22"/>
                <w:szCs w:val="22"/>
              </w:rPr>
              <w:t>1.22 ± 0.11</w:t>
            </w:r>
          </w:p>
        </w:tc>
        <w:tc>
          <w:tcPr>
            <w:tcW w:w="1507" w:type="dxa"/>
            <w:tcBorders>
              <w:top w:val="nil"/>
              <w:bottom w:val="nil"/>
            </w:tcBorders>
            <w:vAlign w:val="center"/>
          </w:tcPr>
          <w:p w14:paraId="072CEC3F" w14:textId="77777777" w:rsidR="00246BE0" w:rsidRPr="00812C39" w:rsidRDefault="00246BE0" w:rsidP="00366481">
            <w:pPr>
              <w:jc w:val="center"/>
              <w:rPr>
                <w:rFonts w:ascii="Helvetica" w:hAnsi="Helvetica"/>
              </w:rPr>
            </w:pPr>
            <w:r w:rsidRPr="00812C39">
              <w:rPr>
                <w:rFonts w:ascii="Helvetica" w:hAnsi="Helvetica" w:cs="Arial"/>
                <w:sz w:val="22"/>
                <w:szCs w:val="22"/>
              </w:rPr>
              <w:t>2.20 ± 0.22</w:t>
            </w:r>
          </w:p>
        </w:tc>
        <w:tc>
          <w:tcPr>
            <w:tcW w:w="1508" w:type="dxa"/>
            <w:tcBorders>
              <w:top w:val="nil"/>
              <w:bottom w:val="nil"/>
            </w:tcBorders>
            <w:vAlign w:val="center"/>
          </w:tcPr>
          <w:p w14:paraId="616FDB91" w14:textId="77777777" w:rsidR="00246BE0" w:rsidRPr="00812C39" w:rsidRDefault="00246BE0" w:rsidP="00366481">
            <w:pPr>
              <w:jc w:val="center"/>
              <w:rPr>
                <w:rFonts w:ascii="Helvetica" w:hAnsi="Helvetica"/>
              </w:rPr>
            </w:pPr>
            <w:r w:rsidRPr="00812C39">
              <w:rPr>
                <w:rFonts w:ascii="Helvetica" w:hAnsi="Helvetica" w:cs="Arial"/>
                <w:sz w:val="22"/>
                <w:szCs w:val="22"/>
              </w:rPr>
              <w:t>0.92 ± 0.11</w:t>
            </w:r>
          </w:p>
        </w:tc>
      </w:tr>
      <w:tr w:rsidR="00246BE0" w:rsidRPr="00812C39" w14:paraId="5D605BCE" w14:textId="77777777" w:rsidTr="00246BE0">
        <w:tc>
          <w:tcPr>
            <w:tcW w:w="2250" w:type="dxa"/>
            <w:tcBorders>
              <w:top w:val="nil"/>
              <w:bottom w:val="single" w:sz="12" w:space="0" w:color="auto"/>
            </w:tcBorders>
            <w:vAlign w:val="center"/>
          </w:tcPr>
          <w:p w14:paraId="1418E5E5" w14:textId="77777777" w:rsidR="00246BE0" w:rsidRPr="00812C39" w:rsidRDefault="00246BE0" w:rsidP="00246BE0">
            <w:pPr>
              <w:ind w:left="-108" w:firstLine="990"/>
              <w:rPr>
                <w:rFonts w:ascii="Helvetica" w:hAnsi="Helvetica"/>
              </w:rPr>
            </w:pPr>
            <w:r w:rsidRPr="00812C39">
              <w:rPr>
                <w:rFonts w:ascii="Helvetica" w:hAnsi="Helvetica" w:cs="Arial"/>
                <w:sz w:val="22"/>
                <w:szCs w:val="22"/>
              </w:rPr>
              <w:t>XX</w:t>
            </w:r>
          </w:p>
        </w:tc>
        <w:tc>
          <w:tcPr>
            <w:tcW w:w="450" w:type="dxa"/>
            <w:tcBorders>
              <w:top w:val="nil"/>
              <w:bottom w:val="single" w:sz="12" w:space="0" w:color="auto"/>
            </w:tcBorders>
            <w:vAlign w:val="center"/>
          </w:tcPr>
          <w:p w14:paraId="1A383871" w14:textId="77777777" w:rsidR="00246BE0" w:rsidRPr="00812C39" w:rsidRDefault="00246BE0" w:rsidP="00246BE0">
            <w:pPr>
              <w:spacing w:after="80"/>
              <w:ind w:left="297"/>
              <w:rPr>
                <w:rFonts w:ascii="Helvetica" w:hAnsi="Helvetica" w:cs="Arial"/>
                <w:sz w:val="22"/>
                <w:szCs w:val="22"/>
              </w:rPr>
            </w:pPr>
          </w:p>
        </w:tc>
        <w:tc>
          <w:tcPr>
            <w:tcW w:w="1350" w:type="dxa"/>
            <w:tcBorders>
              <w:top w:val="nil"/>
              <w:bottom w:val="single" w:sz="12" w:space="0" w:color="auto"/>
            </w:tcBorders>
            <w:vAlign w:val="center"/>
          </w:tcPr>
          <w:p w14:paraId="79DA0E01" w14:textId="77777777" w:rsidR="00246BE0" w:rsidRPr="00812C39" w:rsidRDefault="00246BE0" w:rsidP="00246BE0">
            <w:pPr>
              <w:spacing w:after="80"/>
              <w:ind w:left="-108"/>
              <w:jc w:val="center"/>
              <w:rPr>
                <w:rFonts w:ascii="Helvetica" w:hAnsi="Helvetica" w:cs="Arial"/>
                <w:sz w:val="22"/>
                <w:szCs w:val="22"/>
              </w:rPr>
            </w:pPr>
            <w:r w:rsidRPr="00812C39">
              <w:rPr>
                <w:rFonts w:ascii="Helvetica" w:hAnsi="Helvetica" w:cs="Arial"/>
                <w:sz w:val="22"/>
                <w:szCs w:val="22"/>
              </w:rPr>
              <w:t>XX</w:t>
            </w:r>
          </w:p>
        </w:tc>
        <w:tc>
          <w:tcPr>
            <w:tcW w:w="1507" w:type="dxa"/>
            <w:tcBorders>
              <w:top w:val="nil"/>
              <w:bottom w:val="single" w:sz="12" w:space="0" w:color="auto"/>
            </w:tcBorders>
            <w:vAlign w:val="center"/>
          </w:tcPr>
          <w:p w14:paraId="3D583D17" w14:textId="77777777" w:rsidR="00246BE0" w:rsidRPr="00812C39" w:rsidRDefault="00246BE0" w:rsidP="00246BE0">
            <w:pPr>
              <w:rPr>
                <w:rFonts w:ascii="Helvetica" w:hAnsi="Helvetica"/>
              </w:rPr>
            </w:pPr>
          </w:p>
        </w:tc>
        <w:tc>
          <w:tcPr>
            <w:tcW w:w="1508" w:type="dxa"/>
            <w:tcBorders>
              <w:top w:val="nil"/>
              <w:bottom w:val="single" w:sz="12" w:space="0" w:color="auto"/>
            </w:tcBorders>
            <w:vAlign w:val="center"/>
          </w:tcPr>
          <w:p w14:paraId="7D2C7797" w14:textId="77777777" w:rsidR="00246BE0" w:rsidRPr="00812C39" w:rsidRDefault="00246BE0" w:rsidP="00246BE0">
            <w:pPr>
              <w:rPr>
                <w:rFonts w:ascii="Helvetica" w:hAnsi="Helvetica"/>
              </w:rPr>
            </w:pPr>
          </w:p>
        </w:tc>
        <w:tc>
          <w:tcPr>
            <w:tcW w:w="1507" w:type="dxa"/>
            <w:tcBorders>
              <w:top w:val="nil"/>
              <w:bottom w:val="single" w:sz="12" w:space="0" w:color="auto"/>
            </w:tcBorders>
            <w:vAlign w:val="center"/>
          </w:tcPr>
          <w:p w14:paraId="2DF4CCB3" w14:textId="77777777" w:rsidR="00246BE0" w:rsidRPr="00812C39" w:rsidRDefault="00246BE0" w:rsidP="00246BE0">
            <w:pPr>
              <w:rPr>
                <w:rFonts w:ascii="Helvetica" w:hAnsi="Helvetica"/>
              </w:rPr>
            </w:pPr>
          </w:p>
        </w:tc>
        <w:tc>
          <w:tcPr>
            <w:tcW w:w="1508" w:type="dxa"/>
            <w:tcBorders>
              <w:top w:val="nil"/>
              <w:bottom w:val="single" w:sz="12" w:space="0" w:color="auto"/>
            </w:tcBorders>
            <w:vAlign w:val="center"/>
          </w:tcPr>
          <w:p w14:paraId="235DB7C9" w14:textId="77777777" w:rsidR="00246BE0" w:rsidRPr="00812C39" w:rsidRDefault="00246BE0" w:rsidP="00246BE0">
            <w:pPr>
              <w:rPr>
                <w:rFonts w:ascii="Helvetica" w:hAnsi="Helvetica"/>
              </w:rPr>
            </w:pPr>
          </w:p>
        </w:tc>
      </w:tr>
    </w:tbl>
    <w:p w14:paraId="464312C6" w14:textId="77777777" w:rsidR="00246BE0" w:rsidRDefault="00246BE0" w:rsidP="00B12E96">
      <w:pPr>
        <w:spacing w:after="0"/>
        <w:rPr>
          <w:rFonts w:ascii="Arial" w:hAnsi="Arial" w:cs="Arial"/>
          <w:sz w:val="22"/>
          <w:szCs w:val="22"/>
        </w:rPr>
      </w:pPr>
    </w:p>
    <w:p w14:paraId="0F8284FE" w14:textId="77777777" w:rsidR="00950DF2" w:rsidRDefault="00950DF2" w:rsidP="007011CC">
      <w:pPr>
        <w:spacing w:after="80"/>
        <w:rPr>
          <w:rFonts w:ascii="Arial" w:hAnsi="Arial" w:cs="Arial"/>
          <w:sz w:val="22"/>
          <w:szCs w:val="22"/>
        </w:rPr>
      </w:pPr>
    </w:p>
    <w:p w14:paraId="52D8504C" w14:textId="74590A89" w:rsidR="008F4880" w:rsidRPr="00F83F0E" w:rsidRDefault="008F4880" w:rsidP="00950DF2">
      <w:pPr>
        <w:spacing w:after="0" w:line="480" w:lineRule="auto"/>
        <w:rPr>
          <w:rFonts w:ascii="Helvetica" w:hAnsi="Helvetica" w:cs="Arial"/>
          <w:sz w:val="22"/>
          <w:szCs w:val="22"/>
        </w:rPr>
      </w:pPr>
      <w:r w:rsidRPr="00F83F0E">
        <w:rPr>
          <w:rFonts w:ascii="Helvetica" w:hAnsi="Helvetica" w:cs="Arial"/>
          <w:sz w:val="22"/>
          <w:szCs w:val="22"/>
          <w:vertAlign w:val="superscript"/>
        </w:rPr>
        <w:tab/>
      </w:r>
      <w:r w:rsidR="00950DF2" w:rsidRPr="00812C39">
        <w:rPr>
          <w:rFonts w:ascii="Helvetica" w:hAnsi="Helvetica" w:cs="Arial"/>
          <w:i/>
          <w:sz w:val="22"/>
          <w:szCs w:val="22"/>
          <w:vertAlign w:val="superscript"/>
        </w:rPr>
        <w:t>a</w:t>
      </w:r>
      <w:r w:rsidR="00DE1CFC" w:rsidRPr="00F83F0E">
        <w:rPr>
          <w:rFonts w:ascii="Helvetica" w:hAnsi="Helvetica" w:cs="Arial"/>
          <w:sz w:val="22"/>
          <w:szCs w:val="22"/>
        </w:rPr>
        <w:t>The levels</w:t>
      </w:r>
      <w:r w:rsidR="00950DF2" w:rsidRPr="00F83F0E">
        <w:rPr>
          <w:rFonts w:ascii="Helvetica" w:hAnsi="Helvetica" w:cs="Arial"/>
          <w:sz w:val="22"/>
          <w:szCs w:val="22"/>
        </w:rPr>
        <w:t xml:space="preserve"> of </w:t>
      </w:r>
      <w:r w:rsidR="00950DF2" w:rsidRPr="00F83F0E">
        <w:rPr>
          <w:rFonts w:ascii="Helvetica" w:hAnsi="Helvetica" w:cs="Arial"/>
          <w:i/>
          <w:sz w:val="22"/>
          <w:szCs w:val="22"/>
        </w:rPr>
        <w:t>xol-1</w:t>
      </w:r>
      <w:r w:rsidR="00950DF2" w:rsidRPr="00F83F0E">
        <w:rPr>
          <w:rFonts w:ascii="Helvetica" w:hAnsi="Helvetica" w:cs="Arial"/>
          <w:sz w:val="22"/>
          <w:szCs w:val="22"/>
        </w:rPr>
        <w:t xml:space="preserve"> transcripts were </w:t>
      </w:r>
      <w:r w:rsidR="00055EFC">
        <w:rPr>
          <w:rFonts w:ascii="Helvetica" w:hAnsi="Helvetica" w:cs="Arial"/>
          <w:sz w:val="22"/>
          <w:szCs w:val="22"/>
        </w:rPr>
        <w:t>quantified</w:t>
      </w:r>
      <w:r w:rsidR="00950DF2" w:rsidRPr="00F83F0E">
        <w:rPr>
          <w:rFonts w:ascii="Helvetica" w:hAnsi="Helvetica" w:cs="Arial"/>
          <w:sz w:val="22"/>
          <w:szCs w:val="22"/>
        </w:rPr>
        <w:t xml:space="preserve"> in embryos of different genotypes to determine if </w:t>
      </w:r>
      <w:r w:rsidR="00DE1CFC" w:rsidRPr="00F83F0E">
        <w:rPr>
          <w:rFonts w:ascii="Helvetica" w:hAnsi="Helvetica" w:cs="Arial"/>
          <w:sz w:val="22"/>
          <w:szCs w:val="22"/>
        </w:rPr>
        <w:t>high</w:t>
      </w:r>
      <w:r w:rsidR="00950DF2" w:rsidRPr="00F83F0E">
        <w:rPr>
          <w:rFonts w:ascii="Helvetica" w:hAnsi="Helvetica" w:cs="Arial"/>
          <w:sz w:val="22"/>
          <w:szCs w:val="22"/>
        </w:rPr>
        <w:t xml:space="preserve"> FOX-1</w:t>
      </w:r>
      <w:r w:rsidRPr="00F83F0E">
        <w:rPr>
          <w:rFonts w:ascii="Helvetica" w:hAnsi="Helvetica" w:cs="Arial"/>
          <w:sz w:val="22"/>
          <w:szCs w:val="22"/>
        </w:rPr>
        <w:t xml:space="preserve"> levels</w:t>
      </w:r>
      <w:r w:rsidR="00950DF2" w:rsidRPr="00F83F0E">
        <w:rPr>
          <w:rFonts w:ascii="Helvetica" w:hAnsi="Helvetica" w:cs="Arial"/>
          <w:sz w:val="22"/>
          <w:szCs w:val="22"/>
        </w:rPr>
        <w:t xml:space="preserve"> made from </w:t>
      </w:r>
      <w:r w:rsidR="00950DF2" w:rsidRPr="00F83F0E">
        <w:rPr>
          <w:rFonts w:ascii="Helvetica" w:hAnsi="Helvetica" w:cs="Arial"/>
          <w:i/>
          <w:sz w:val="22"/>
          <w:szCs w:val="22"/>
        </w:rPr>
        <w:t>yIs44(fox-1)</w:t>
      </w:r>
      <w:r w:rsidR="00950DF2" w:rsidRPr="00F83F0E">
        <w:rPr>
          <w:rFonts w:ascii="Helvetica" w:hAnsi="Helvetica" w:cs="Arial"/>
          <w:sz w:val="22"/>
          <w:szCs w:val="22"/>
        </w:rPr>
        <w:t xml:space="preserve"> altered </w:t>
      </w:r>
      <w:r w:rsidR="00950DF2" w:rsidRPr="00F83F0E">
        <w:rPr>
          <w:rFonts w:ascii="Helvetica" w:hAnsi="Helvetica" w:cs="Arial"/>
          <w:i/>
          <w:sz w:val="22"/>
          <w:szCs w:val="22"/>
        </w:rPr>
        <w:t>xol-1</w:t>
      </w:r>
      <w:r w:rsidR="00950DF2" w:rsidRPr="00F83F0E">
        <w:rPr>
          <w:rFonts w:ascii="Helvetica" w:hAnsi="Helvetica" w:cs="Arial"/>
          <w:sz w:val="22"/>
          <w:szCs w:val="22"/>
        </w:rPr>
        <w:t xml:space="preserve"> transcript levels.  In the first comparison, </w:t>
      </w:r>
      <w:r w:rsidR="00950DF2" w:rsidRPr="00F83F0E">
        <w:rPr>
          <w:rFonts w:ascii="Helvetica" w:hAnsi="Helvetica" w:cs="Arial"/>
          <w:i/>
          <w:sz w:val="22"/>
          <w:szCs w:val="22"/>
        </w:rPr>
        <w:t>xol-1</w:t>
      </w:r>
      <w:r w:rsidR="00950DF2" w:rsidRPr="00F83F0E">
        <w:rPr>
          <w:rFonts w:ascii="Helvetica" w:hAnsi="Helvetica" w:cs="Arial"/>
          <w:sz w:val="22"/>
          <w:szCs w:val="22"/>
        </w:rPr>
        <w:t xml:space="preserve"> transcript</w:t>
      </w:r>
      <w:r w:rsidRPr="00F83F0E">
        <w:rPr>
          <w:rFonts w:ascii="Helvetica" w:hAnsi="Helvetica" w:cs="Arial"/>
          <w:sz w:val="22"/>
          <w:szCs w:val="22"/>
        </w:rPr>
        <w:t>s</w:t>
      </w:r>
      <w:r w:rsidR="00950DF2" w:rsidRPr="00F83F0E">
        <w:rPr>
          <w:rFonts w:ascii="Helvetica" w:hAnsi="Helvetica" w:cs="Arial"/>
          <w:sz w:val="22"/>
          <w:szCs w:val="22"/>
        </w:rPr>
        <w:t xml:space="preserve"> </w:t>
      </w:r>
      <w:r w:rsidR="000B008C">
        <w:rPr>
          <w:rFonts w:ascii="Helvetica" w:hAnsi="Helvetica" w:cs="Arial"/>
          <w:sz w:val="22"/>
          <w:szCs w:val="22"/>
        </w:rPr>
        <w:t>are</w:t>
      </w:r>
      <w:r w:rsidR="00950DF2" w:rsidRPr="00F83F0E">
        <w:rPr>
          <w:rFonts w:ascii="Helvetica" w:hAnsi="Helvetica" w:cs="Arial"/>
          <w:sz w:val="22"/>
          <w:szCs w:val="22"/>
        </w:rPr>
        <w:t xml:space="preserve"> expressed as the fold change in </w:t>
      </w:r>
      <w:r w:rsidR="00950DF2" w:rsidRPr="00F83F0E">
        <w:rPr>
          <w:rFonts w:ascii="Helvetica" w:hAnsi="Helvetica" w:cs="Arial"/>
          <w:i/>
          <w:sz w:val="22"/>
          <w:szCs w:val="22"/>
        </w:rPr>
        <w:t>yIs44(fox-1); him-5</w:t>
      </w:r>
      <w:r w:rsidR="00950DF2" w:rsidRPr="00F83F0E">
        <w:rPr>
          <w:rFonts w:ascii="Helvetica" w:hAnsi="Helvetica" w:cs="Arial"/>
          <w:sz w:val="22"/>
          <w:szCs w:val="22"/>
        </w:rPr>
        <w:t xml:space="preserve"> XX and XO </w:t>
      </w:r>
      <w:r w:rsidR="00DE1CFC" w:rsidRPr="00F83F0E">
        <w:rPr>
          <w:rFonts w:ascii="Helvetica" w:hAnsi="Helvetica" w:cs="Arial"/>
          <w:sz w:val="22"/>
          <w:szCs w:val="22"/>
        </w:rPr>
        <w:t xml:space="preserve">embryos </w:t>
      </w:r>
      <w:r w:rsidR="00950DF2" w:rsidRPr="00F83F0E">
        <w:rPr>
          <w:rFonts w:ascii="Helvetica" w:hAnsi="Helvetica" w:cs="Arial"/>
          <w:sz w:val="22"/>
          <w:szCs w:val="22"/>
        </w:rPr>
        <w:t xml:space="preserve">compared to </w:t>
      </w:r>
      <w:r w:rsidR="009B2126" w:rsidRPr="00F83F0E">
        <w:rPr>
          <w:rFonts w:ascii="Helvetica" w:hAnsi="Helvetica" w:cs="Arial"/>
          <w:i/>
          <w:sz w:val="22"/>
          <w:szCs w:val="22"/>
        </w:rPr>
        <w:t>xol-1</w:t>
      </w:r>
      <w:r w:rsidR="009B2126" w:rsidRPr="00F83F0E">
        <w:rPr>
          <w:rFonts w:ascii="Helvetica" w:hAnsi="Helvetica" w:cs="Arial"/>
          <w:sz w:val="22"/>
          <w:szCs w:val="22"/>
        </w:rPr>
        <w:t xml:space="preserve"> </w:t>
      </w:r>
      <w:r w:rsidR="00950DF2" w:rsidRPr="00F83F0E">
        <w:rPr>
          <w:rFonts w:ascii="Helvetica" w:hAnsi="Helvetica" w:cs="Arial"/>
          <w:sz w:val="22"/>
          <w:szCs w:val="22"/>
        </w:rPr>
        <w:t>transcript</w:t>
      </w:r>
      <w:r w:rsidRPr="00F83F0E">
        <w:rPr>
          <w:rFonts w:ascii="Helvetica" w:hAnsi="Helvetica" w:cs="Arial"/>
          <w:sz w:val="22"/>
          <w:szCs w:val="22"/>
        </w:rPr>
        <w:t>s</w:t>
      </w:r>
      <w:r w:rsidR="00950DF2" w:rsidRPr="00F83F0E">
        <w:rPr>
          <w:rFonts w:ascii="Helvetica" w:hAnsi="Helvetica" w:cs="Arial"/>
          <w:sz w:val="22"/>
          <w:szCs w:val="22"/>
        </w:rPr>
        <w:t xml:space="preserve"> measured in </w:t>
      </w:r>
      <w:r w:rsidR="00950DF2" w:rsidRPr="00F83F0E">
        <w:rPr>
          <w:rFonts w:ascii="Helvetica" w:hAnsi="Helvetica" w:cs="Arial"/>
          <w:i/>
          <w:sz w:val="22"/>
          <w:szCs w:val="22"/>
        </w:rPr>
        <w:t xml:space="preserve">him-5 </w:t>
      </w:r>
      <w:r w:rsidR="00950DF2" w:rsidRPr="00F83F0E">
        <w:rPr>
          <w:rFonts w:ascii="Helvetica" w:hAnsi="Helvetica" w:cs="Arial"/>
          <w:sz w:val="22"/>
          <w:szCs w:val="22"/>
        </w:rPr>
        <w:t>XX and XO</w:t>
      </w:r>
      <w:r w:rsidR="00DE1CFC" w:rsidRPr="00F83F0E">
        <w:rPr>
          <w:rFonts w:ascii="Helvetica" w:hAnsi="Helvetica" w:cs="Arial"/>
          <w:sz w:val="22"/>
          <w:szCs w:val="22"/>
        </w:rPr>
        <w:t xml:space="preserve"> embryos</w:t>
      </w:r>
      <w:r w:rsidR="00950DF2" w:rsidRPr="00F83F0E">
        <w:rPr>
          <w:rFonts w:ascii="Helvetica" w:hAnsi="Helvetica" w:cs="Arial"/>
          <w:sz w:val="22"/>
          <w:szCs w:val="22"/>
        </w:rPr>
        <w:t xml:space="preserve">.  In the </w:t>
      </w:r>
      <w:r w:rsidRPr="00F83F0E">
        <w:rPr>
          <w:rFonts w:ascii="Helvetica" w:hAnsi="Helvetica" w:cs="Arial"/>
          <w:sz w:val="22"/>
          <w:szCs w:val="22"/>
        </w:rPr>
        <w:t>second</w:t>
      </w:r>
      <w:r w:rsidR="00950DF2" w:rsidRPr="00F83F0E">
        <w:rPr>
          <w:rFonts w:ascii="Helvetica" w:hAnsi="Helvetica" w:cs="Arial"/>
          <w:sz w:val="22"/>
          <w:szCs w:val="22"/>
        </w:rPr>
        <w:t xml:space="preserve"> comparison, </w:t>
      </w:r>
      <w:r w:rsidR="00950DF2" w:rsidRPr="00F83F0E">
        <w:rPr>
          <w:rFonts w:ascii="Helvetica" w:hAnsi="Helvetica" w:cs="Arial"/>
          <w:i/>
          <w:sz w:val="22"/>
          <w:szCs w:val="22"/>
        </w:rPr>
        <w:t>xol-1</w:t>
      </w:r>
      <w:r w:rsidR="00950DF2" w:rsidRPr="00F83F0E">
        <w:rPr>
          <w:rFonts w:ascii="Helvetica" w:hAnsi="Helvetica" w:cs="Arial"/>
          <w:sz w:val="22"/>
          <w:szCs w:val="22"/>
        </w:rPr>
        <w:t xml:space="preserve"> transcript</w:t>
      </w:r>
      <w:r w:rsidRPr="00F83F0E">
        <w:rPr>
          <w:rFonts w:ascii="Helvetica" w:hAnsi="Helvetica" w:cs="Arial"/>
          <w:sz w:val="22"/>
          <w:szCs w:val="22"/>
        </w:rPr>
        <w:t>s</w:t>
      </w:r>
      <w:r w:rsidR="00950DF2" w:rsidRPr="00F83F0E">
        <w:rPr>
          <w:rFonts w:ascii="Helvetica" w:hAnsi="Helvetica" w:cs="Arial"/>
          <w:sz w:val="22"/>
          <w:szCs w:val="22"/>
        </w:rPr>
        <w:t xml:space="preserve"> are expressed as the fold change in </w:t>
      </w:r>
      <w:r w:rsidR="00950DF2" w:rsidRPr="00F83F0E">
        <w:rPr>
          <w:rFonts w:ascii="Helvetica" w:hAnsi="Helvetica" w:cs="Arial"/>
          <w:i/>
          <w:sz w:val="22"/>
          <w:szCs w:val="22"/>
        </w:rPr>
        <w:t xml:space="preserve">yIs44(fox-1) </w:t>
      </w:r>
      <w:r w:rsidR="00950DF2" w:rsidRPr="00F83F0E">
        <w:rPr>
          <w:rFonts w:ascii="Helvetica" w:hAnsi="Helvetica" w:cs="Arial"/>
          <w:sz w:val="22"/>
          <w:szCs w:val="22"/>
        </w:rPr>
        <w:t xml:space="preserve">XX </w:t>
      </w:r>
      <w:r w:rsidRPr="00F83F0E">
        <w:rPr>
          <w:rFonts w:ascii="Helvetica" w:hAnsi="Helvetica" w:cs="Arial"/>
          <w:sz w:val="22"/>
          <w:szCs w:val="22"/>
        </w:rPr>
        <w:t xml:space="preserve">embryos </w:t>
      </w:r>
      <w:r w:rsidR="00950DF2" w:rsidRPr="00F83F0E">
        <w:rPr>
          <w:rFonts w:ascii="Helvetica" w:hAnsi="Helvetica" w:cs="Arial"/>
          <w:sz w:val="22"/>
          <w:szCs w:val="22"/>
        </w:rPr>
        <w:t xml:space="preserve">compared to </w:t>
      </w:r>
      <w:r w:rsidR="009B2126" w:rsidRPr="00F83F0E">
        <w:rPr>
          <w:rFonts w:ascii="Helvetica" w:hAnsi="Helvetica" w:cs="Arial"/>
          <w:i/>
          <w:sz w:val="22"/>
          <w:szCs w:val="22"/>
        </w:rPr>
        <w:t>xol-1</w:t>
      </w:r>
      <w:r w:rsidR="009B2126" w:rsidRPr="00F83F0E">
        <w:rPr>
          <w:rFonts w:ascii="Helvetica" w:hAnsi="Helvetica" w:cs="Arial"/>
          <w:sz w:val="22"/>
          <w:szCs w:val="22"/>
        </w:rPr>
        <w:t xml:space="preserve"> </w:t>
      </w:r>
      <w:r w:rsidR="00950DF2" w:rsidRPr="00F83F0E">
        <w:rPr>
          <w:rFonts w:ascii="Helvetica" w:hAnsi="Helvetica" w:cs="Arial"/>
          <w:sz w:val="22"/>
          <w:szCs w:val="22"/>
        </w:rPr>
        <w:t xml:space="preserve">transcript levels measured in </w:t>
      </w:r>
      <w:r w:rsidRPr="00F83F0E">
        <w:rPr>
          <w:rFonts w:ascii="Helvetica" w:hAnsi="Helvetica" w:cs="Arial"/>
          <w:sz w:val="22"/>
          <w:szCs w:val="22"/>
        </w:rPr>
        <w:t>wild-type XX embryos.</w:t>
      </w:r>
    </w:p>
    <w:p w14:paraId="1D34BDBF" w14:textId="30169CA1" w:rsidR="00950DF2" w:rsidRPr="00F83F0E" w:rsidRDefault="008F4880" w:rsidP="00950DF2">
      <w:pPr>
        <w:spacing w:after="0" w:line="480" w:lineRule="auto"/>
        <w:rPr>
          <w:rFonts w:ascii="Helvetica" w:hAnsi="Helvetica" w:cs="Arial"/>
          <w:sz w:val="22"/>
          <w:szCs w:val="22"/>
        </w:rPr>
      </w:pPr>
      <w:r w:rsidRPr="00F83F0E">
        <w:rPr>
          <w:rFonts w:ascii="Helvetica" w:hAnsi="Helvetica" w:cs="Arial"/>
          <w:i/>
          <w:sz w:val="22"/>
          <w:szCs w:val="22"/>
          <w:vertAlign w:val="superscript"/>
        </w:rPr>
        <w:tab/>
      </w:r>
      <w:r w:rsidRPr="00812C39">
        <w:rPr>
          <w:rFonts w:ascii="Helvetica" w:hAnsi="Helvetica" w:cs="Arial"/>
          <w:i/>
          <w:sz w:val="22"/>
          <w:szCs w:val="22"/>
          <w:vertAlign w:val="superscript"/>
        </w:rPr>
        <w:t>b</w:t>
      </w:r>
      <w:r w:rsidRPr="00F83F0E">
        <w:rPr>
          <w:rFonts w:ascii="Helvetica" w:hAnsi="Helvetica" w:cs="Arial"/>
          <w:sz w:val="22"/>
          <w:szCs w:val="22"/>
        </w:rPr>
        <w:t xml:space="preserve">The </w:t>
      </w:r>
      <w:r w:rsidRPr="00F83F0E">
        <w:rPr>
          <w:rFonts w:ascii="Helvetica" w:hAnsi="Helvetica" w:cs="Arial"/>
          <w:i/>
          <w:sz w:val="22"/>
          <w:szCs w:val="22"/>
        </w:rPr>
        <w:t>xol-1</w:t>
      </w:r>
      <w:r w:rsidRPr="00F83F0E">
        <w:rPr>
          <w:rFonts w:ascii="Helvetica" w:hAnsi="Helvetica" w:cs="Arial"/>
          <w:sz w:val="22"/>
          <w:szCs w:val="22"/>
        </w:rPr>
        <w:t xml:space="preserve"> and </w:t>
      </w:r>
      <w:r w:rsidRPr="00F83F0E">
        <w:rPr>
          <w:rFonts w:ascii="Helvetica" w:hAnsi="Helvetica" w:cs="Arial"/>
          <w:i/>
          <w:sz w:val="22"/>
          <w:szCs w:val="22"/>
        </w:rPr>
        <w:t>nhr-64</w:t>
      </w:r>
      <w:r w:rsidRPr="00F83F0E">
        <w:rPr>
          <w:rFonts w:ascii="Helvetica" w:hAnsi="Helvetica" w:cs="Arial"/>
          <w:sz w:val="22"/>
          <w:szCs w:val="22"/>
        </w:rPr>
        <w:t xml:space="preserve"> transcripts were normalized to the levels of the control gene </w:t>
      </w:r>
      <w:r w:rsidRPr="00F83F0E">
        <w:rPr>
          <w:rFonts w:ascii="Helvetica" w:hAnsi="Helvetica" w:cs="Arial"/>
          <w:i/>
          <w:sz w:val="22"/>
          <w:szCs w:val="22"/>
        </w:rPr>
        <w:t>fasn-1</w:t>
      </w:r>
      <w:r w:rsidRPr="00F83F0E">
        <w:rPr>
          <w:rFonts w:ascii="Helvetica" w:hAnsi="Helvetica" w:cs="Arial"/>
          <w:sz w:val="22"/>
          <w:szCs w:val="22"/>
        </w:rPr>
        <w:t xml:space="preserve">, </w:t>
      </w:r>
      <w:r w:rsidR="0060628C" w:rsidRPr="00F83F0E">
        <w:rPr>
          <w:rFonts w:ascii="Helvetica" w:hAnsi="Helvetica" w:cs="Arial"/>
          <w:sz w:val="22"/>
          <w:szCs w:val="22"/>
        </w:rPr>
        <w:t xml:space="preserve">a fatty acid synthase gene </w:t>
      </w:r>
      <w:r w:rsidRPr="00F83F0E">
        <w:rPr>
          <w:rFonts w:ascii="Helvetica" w:hAnsi="Helvetica" w:cs="Arial"/>
          <w:sz w:val="22"/>
          <w:szCs w:val="22"/>
        </w:rPr>
        <w:t>whose expression is constant throughout embryogenesis and is not affected by do</w:t>
      </w:r>
      <w:r w:rsidR="0060628C" w:rsidRPr="00F83F0E">
        <w:rPr>
          <w:rFonts w:ascii="Helvetica" w:hAnsi="Helvetica" w:cs="Arial"/>
          <w:sz w:val="22"/>
          <w:szCs w:val="22"/>
        </w:rPr>
        <w:t>sage com</w:t>
      </w:r>
      <w:r w:rsidR="00752629" w:rsidRPr="00F83F0E">
        <w:rPr>
          <w:rFonts w:ascii="Helvetica" w:hAnsi="Helvetica" w:cs="Arial"/>
          <w:sz w:val="22"/>
          <w:szCs w:val="22"/>
        </w:rPr>
        <w:t>pensation.</w:t>
      </w:r>
      <w:r w:rsidR="00950DF2" w:rsidRPr="00F83F0E">
        <w:rPr>
          <w:rFonts w:ascii="Helvetica" w:hAnsi="Helvetica" w:cs="Arial"/>
          <w:sz w:val="22"/>
          <w:szCs w:val="22"/>
        </w:rPr>
        <w:t xml:space="preserve">  </w:t>
      </w:r>
      <w:r w:rsidR="0060628C" w:rsidRPr="00F83F0E">
        <w:rPr>
          <w:rFonts w:ascii="Helvetica" w:hAnsi="Helvetica" w:cs="Arial"/>
          <w:i/>
          <w:sz w:val="22"/>
          <w:szCs w:val="22"/>
        </w:rPr>
        <w:t>nhr-64</w:t>
      </w:r>
      <w:r w:rsidR="0060628C" w:rsidRPr="00F83F0E">
        <w:rPr>
          <w:rFonts w:ascii="Helvetica" w:hAnsi="Helvetica" w:cs="Arial"/>
          <w:sz w:val="22"/>
          <w:szCs w:val="22"/>
        </w:rPr>
        <w:t xml:space="preserve">, </w:t>
      </w:r>
      <w:r w:rsidR="002F203B">
        <w:rPr>
          <w:rFonts w:ascii="Helvetica" w:hAnsi="Helvetica" w:cs="Arial"/>
          <w:sz w:val="22"/>
          <w:szCs w:val="22"/>
        </w:rPr>
        <w:t>a</w:t>
      </w:r>
      <w:r w:rsidR="0060628C" w:rsidRPr="00F83F0E">
        <w:rPr>
          <w:rFonts w:ascii="Helvetica" w:hAnsi="Helvetica" w:cs="Arial"/>
          <w:sz w:val="22"/>
          <w:szCs w:val="22"/>
        </w:rPr>
        <w:t xml:space="preserve"> gene</w:t>
      </w:r>
      <w:r w:rsidR="002F203B">
        <w:rPr>
          <w:rFonts w:ascii="Helvetica" w:hAnsi="Helvetica" w:cs="Arial"/>
          <w:sz w:val="22"/>
          <w:szCs w:val="22"/>
        </w:rPr>
        <w:t xml:space="preserve"> also</w:t>
      </w:r>
      <w:r w:rsidR="0060628C" w:rsidRPr="00F83F0E">
        <w:rPr>
          <w:rFonts w:ascii="Helvetica" w:hAnsi="Helvetica" w:cs="Arial"/>
          <w:sz w:val="22"/>
          <w:szCs w:val="22"/>
        </w:rPr>
        <w:t xml:space="preserve"> not affected by dosage compensation, was used as </w:t>
      </w:r>
      <w:r w:rsidR="000E0067" w:rsidRPr="00F83F0E">
        <w:rPr>
          <w:rFonts w:ascii="Helvetica" w:hAnsi="Helvetica" w:cs="Arial"/>
          <w:sz w:val="22"/>
          <w:szCs w:val="22"/>
        </w:rPr>
        <w:t>the</w:t>
      </w:r>
      <w:r w:rsidR="0060628C" w:rsidRPr="00F83F0E">
        <w:rPr>
          <w:rFonts w:ascii="Helvetica" w:hAnsi="Helvetica" w:cs="Arial"/>
          <w:sz w:val="22"/>
          <w:szCs w:val="22"/>
        </w:rPr>
        <w:t xml:space="preserve"> control to gauge the variability and reliability of measurements made using qRT-PCR.  The </w:t>
      </w:r>
      <w:r w:rsidR="0060628C" w:rsidRPr="00F83F0E">
        <w:rPr>
          <w:rFonts w:ascii="Helvetica" w:hAnsi="Helvetica" w:cs="Arial"/>
          <w:i/>
          <w:sz w:val="22"/>
          <w:szCs w:val="22"/>
        </w:rPr>
        <w:t>fasn-1</w:t>
      </w:r>
      <w:r w:rsidR="0060628C" w:rsidRPr="00F83F0E">
        <w:rPr>
          <w:rFonts w:ascii="Helvetica" w:hAnsi="Helvetica" w:cs="Arial"/>
          <w:sz w:val="22"/>
          <w:szCs w:val="22"/>
        </w:rPr>
        <w:t xml:space="preserve">-normalized </w:t>
      </w:r>
      <w:r w:rsidR="0060628C" w:rsidRPr="00F83F0E">
        <w:rPr>
          <w:rFonts w:ascii="Helvetica" w:hAnsi="Helvetica" w:cs="Arial"/>
          <w:i/>
          <w:sz w:val="22"/>
          <w:szCs w:val="22"/>
        </w:rPr>
        <w:t>nhr-64</w:t>
      </w:r>
      <w:r w:rsidR="0060628C" w:rsidRPr="00F83F0E">
        <w:rPr>
          <w:rFonts w:ascii="Helvetica" w:hAnsi="Helvetica" w:cs="Arial"/>
          <w:sz w:val="22"/>
          <w:szCs w:val="22"/>
        </w:rPr>
        <w:t xml:space="preserve"> transcripts were statistically equivalent across the three independent replicates.  Experimental error is expressed as the standard error of the mean.</w:t>
      </w:r>
    </w:p>
    <w:p w14:paraId="6A7737A6" w14:textId="6F48C6D9" w:rsidR="000E0067" w:rsidRPr="00F83F0E" w:rsidRDefault="000E0067" w:rsidP="00950DF2">
      <w:pPr>
        <w:spacing w:after="0" w:line="480" w:lineRule="auto"/>
        <w:rPr>
          <w:rFonts w:ascii="Helvetica" w:hAnsi="Helvetica" w:cs="Arial"/>
          <w:sz w:val="22"/>
          <w:szCs w:val="22"/>
        </w:rPr>
      </w:pPr>
      <w:r w:rsidRPr="00F83F0E">
        <w:rPr>
          <w:rFonts w:ascii="Helvetica" w:hAnsi="Helvetica" w:cs="Arial"/>
          <w:sz w:val="22"/>
          <w:szCs w:val="22"/>
        </w:rPr>
        <w:tab/>
      </w:r>
      <w:r w:rsidRPr="00812C39">
        <w:rPr>
          <w:rFonts w:ascii="Helvetica" w:hAnsi="Helvetica" w:cs="Arial"/>
          <w:i/>
          <w:sz w:val="22"/>
          <w:szCs w:val="22"/>
          <w:vertAlign w:val="superscript"/>
        </w:rPr>
        <w:t>c</w:t>
      </w:r>
      <w:r w:rsidR="00FB109E" w:rsidRPr="00F83F0E">
        <w:rPr>
          <w:rFonts w:ascii="Helvetica" w:hAnsi="Helvetica" w:cs="Arial"/>
          <w:sz w:val="22"/>
          <w:szCs w:val="22"/>
        </w:rPr>
        <w:t>Similar results were obtained for the two sets of genotypes</w:t>
      </w:r>
      <w:r w:rsidR="003540A9">
        <w:rPr>
          <w:rFonts w:ascii="Helvetica" w:hAnsi="Helvetica" w:cs="Arial"/>
          <w:sz w:val="22"/>
          <w:szCs w:val="22"/>
        </w:rPr>
        <w:t xml:space="preserve"> </w:t>
      </w:r>
      <w:r w:rsidR="00FB109E" w:rsidRPr="00F83F0E">
        <w:rPr>
          <w:rFonts w:ascii="Helvetica" w:hAnsi="Helvetica" w:cs="Arial"/>
          <w:sz w:val="22"/>
          <w:szCs w:val="22"/>
        </w:rPr>
        <w:t xml:space="preserve">in separate qRT-PCR experiments in which transcript levels for </w:t>
      </w:r>
      <w:r w:rsidR="00FB109E" w:rsidRPr="00F83F0E">
        <w:rPr>
          <w:rFonts w:ascii="Helvetica" w:hAnsi="Helvetica" w:cs="Arial"/>
          <w:i/>
          <w:sz w:val="22"/>
          <w:szCs w:val="22"/>
        </w:rPr>
        <w:t>xol-1</w:t>
      </w:r>
      <w:r w:rsidR="00FB109E" w:rsidRPr="00F83F0E">
        <w:rPr>
          <w:rFonts w:ascii="Helvetica" w:hAnsi="Helvetica" w:cs="Arial"/>
          <w:sz w:val="22"/>
          <w:szCs w:val="22"/>
        </w:rPr>
        <w:t xml:space="preserve"> and </w:t>
      </w:r>
      <w:r w:rsidR="00FB109E" w:rsidRPr="00F83F0E">
        <w:rPr>
          <w:rFonts w:ascii="Helvetica" w:hAnsi="Helvetica" w:cs="Arial"/>
          <w:i/>
          <w:sz w:val="22"/>
          <w:szCs w:val="22"/>
        </w:rPr>
        <w:t>fasn-1</w:t>
      </w:r>
      <w:r w:rsidR="00FB109E" w:rsidRPr="00F83F0E">
        <w:rPr>
          <w:rFonts w:ascii="Helvetica" w:hAnsi="Helvetica" w:cs="Arial"/>
          <w:sz w:val="22"/>
          <w:szCs w:val="22"/>
        </w:rPr>
        <w:t xml:space="preserve"> were normalized to the level of </w:t>
      </w:r>
      <w:r w:rsidR="00FB109E" w:rsidRPr="00F83F0E">
        <w:rPr>
          <w:rFonts w:ascii="Helvetica" w:hAnsi="Helvetica" w:cs="Arial"/>
          <w:i/>
          <w:sz w:val="22"/>
          <w:szCs w:val="22"/>
        </w:rPr>
        <w:t>nhr-64</w:t>
      </w:r>
      <w:r w:rsidR="00FB109E" w:rsidRPr="00F83F0E">
        <w:rPr>
          <w:rFonts w:ascii="Helvetica" w:hAnsi="Helvetica" w:cs="Arial"/>
          <w:sz w:val="22"/>
          <w:szCs w:val="22"/>
        </w:rPr>
        <w:t>.</w:t>
      </w:r>
    </w:p>
    <w:p w14:paraId="3BA1C45B" w14:textId="22972A83" w:rsidR="009B2126" w:rsidRPr="00427BDE" w:rsidRDefault="009B2126" w:rsidP="00950DF2">
      <w:pPr>
        <w:spacing w:after="0" w:line="480" w:lineRule="auto"/>
        <w:rPr>
          <w:rFonts w:ascii="Helvetica" w:hAnsi="Helvetica" w:cs="Arial"/>
          <w:color w:val="000000" w:themeColor="text1"/>
          <w:sz w:val="22"/>
          <w:szCs w:val="22"/>
        </w:rPr>
      </w:pPr>
      <w:r w:rsidRPr="00427BDE">
        <w:rPr>
          <w:rFonts w:ascii="Helvetica" w:hAnsi="Helvetica" w:cs="Arial"/>
          <w:color w:val="000000" w:themeColor="text1"/>
          <w:sz w:val="22"/>
          <w:szCs w:val="22"/>
        </w:rPr>
        <w:tab/>
        <w:t xml:space="preserve">This set of experiments demonstrates that the reduction in </w:t>
      </w:r>
      <w:r w:rsidRPr="00427BDE">
        <w:rPr>
          <w:rFonts w:ascii="Helvetica" w:hAnsi="Helvetica" w:cs="Arial"/>
          <w:i/>
          <w:color w:val="000000" w:themeColor="text1"/>
          <w:sz w:val="22"/>
          <w:szCs w:val="22"/>
        </w:rPr>
        <w:t>xol-1</w:t>
      </w:r>
      <w:r w:rsidRPr="00427BDE">
        <w:rPr>
          <w:rFonts w:ascii="Helvetica" w:hAnsi="Helvetica" w:cs="Arial"/>
          <w:color w:val="000000" w:themeColor="text1"/>
          <w:sz w:val="22"/>
          <w:szCs w:val="22"/>
        </w:rPr>
        <w:t xml:space="preserve"> activity caused by high levels of FOX-1 is not due to</w:t>
      </w:r>
      <w:r w:rsidR="003A51F5" w:rsidRPr="00427BDE">
        <w:rPr>
          <w:rFonts w:ascii="Helvetica" w:hAnsi="Helvetica" w:cs="Arial"/>
          <w:color w:val="000000" w:themeColor="text1"/>
          <w:sz w:val="22"/>
          <w:szCs w:val="22"/>
        </w:rPr>
        <w:t xml:space="preserve"> an</w:t>
      </w:r>
      <w:r w:rsidRPr="00427BDE">
        <w:rPr>
          <w:rFonts w:ascii="Helvetica" w:hAnsi="Helvetica" w:cs="Arial"/>
          <w:color w:val="000000" w:themeColor="text1"/>
          <w:sz w:val="22"/>
          <w:szCs w:val="22"/>
        </w:rPr>
        <w:t xml:space="preserve"> effect on </w:t>
      </w:r>
      <w:r w:rsidRPr="00427BDE">
        <w:rPr>
          <w:rFonts w:ascii="Helvetica" w:hAnsi="Helvetica" w:cs="Arial"/>
          <w:i/>
          <w:color w:val="000000" w:themeColor="text1"/>
          <w:sz w:val="22"/>
          <w:szCs w:val="22"/>
        </w:rPr>
        <w:t>xol-1</w:t>
      </w:r>
      <w:r w:rsidRPr="00427BDE">
        <w:rPr>
          <w:rFonts w:ascii="Helvetica" w:hAnsi="Helvetica" w:cs="Arial"/>
          <w:color w:val="000000" w:themeColor="text1"/>
          <w:sz w:val="22"/>
          <w:szCs w:val="22"/>
        </w:rPr>
        <w:t xml:space="preserve"> transcription, since </w:t>
      </w:r>
      <w:r w:rsidRPr="00427BDE">
        <w:rPr>
          <w:rFonts w:ascii="Helvetica" w:hAnsi="Helvetica" w:cs="Arial"/>
          <w:i/>
          <w:color w:val="000000" w:themeColor="text1"/>
          <w:sz w:val="22"/>
          <w:szCs w:val="22"/>
        </w:rPr>
        <w:t>xol-1</w:t>
      </w:r>
      <w:r w:rsidRPr="00427BDE">
        <w:rPr>
          <w:rFonts w:ascii="Helvetica" w:hAnsi="Helvetica" w:cs="Arial"/>
          <w:color w:val="000000" w:themeColor="text1"/>
          <w:sz w:val="22"/>
          <w:szCs w:val="22"/>
        </w:rPr>
        <w:t xml:space="preserve"> transcript levels</w:t>
      </w:r>
      <w:r w:rsidR="005C1E5B" w:rsidRPr="00427BDE">
        <w:rPr>
          <w:rFonts w:ascii="Helvetica" w:hAnsi="Helvetica" w:cs="Arial"/>
          <w:color w:val="000000" w:themeColor="text1"/>
          <w:sz w:val="22"/>
          <w:szCs w:val="22"/>
        </w:rPr>
        <w:t xml:space="preserve"> in strains with elevated FOX-1 levels</w:t>
      </w:r>
      <w:r w:rsidRPr="00427BDE">
        <w:rPr>
          <w:rFonts w:ascii="Helvetica" w:hAnsi="Helvetica" w:cs="Arial"/>
          <w:color w:val="000000" w:themeColor="text1"/>
          <w:sz w:val="22"/>
          <w:szCs w:val="22"/>
        </w:rPr>
        <w:t xml:space="preserve"> are slightly higher</w:t>
      </w:r>
      <w:r w:rsidR="005C1E5B" w:rsidRPr="00427BDE">
        <w:rPr>
          <w:rFonts w:ascii="Helvetica" w:hAnsi="Helvetica" w:cs="Arial"/>
          <w:color w:val="000000" w:themeColor="text1"/>
          <w:sz w:val="22"/>
          <w:szCs w:val="22"/>
        </w:rPr>
        <w:t>,</w:t>
      </w:r>
      <w:r w:rsidRPr="00427BDE">
        <w:rPr>
          <w:rFonts w:ascii="Helvetica" w:hAnsi="Helvetica" w:cs="Arial"/>
          <w:color w:val="000000" w:themeColor="text1"/>
          <w:sz w:val="22"/>
          <w:szCs w:val="22"/>
        </w:rPr>
        <w:t xml:space="preserve"> </w:t>
      </w:r>
      <w:r w:rsidR="005C1E5B" w:rsidRPr="00427BDE">
        <w:rPr>
          <w:rFonts w:ascii="Helvetica" w:hAnsi="Helvetica" w:cs="Arial"/>
          <w:color w:val="000000" w:themeColor="text1"/>
          <w:sz w:val="22"/>
          <w:szCs w:val="22"/>
        </w:rPr>
        <w:t>rather than being reduced</w:t>
      </w:r>
      <w:r w:rsidRPr="00427BDE">
        <w:rPr>
          <w:rFonts w:ascii="Helvetica" w:hAnsi="Helvetica" w:cs="Arial"/>
          <w:color w:val="000000" w:themeColor="text1"/>
          <w:sz w:val="22"/>
          <w:szCs w:val="22"/>
        </w:rPr>
        <w:t xml:space="preserve">. </w:t>
      </w:r>
      <w:r w:rsidR="005C1E5B" w:rsidRPr="00427BDE">
        <w:rPr>
          <w:rFonts w:ascii="Helvetica" w:hAnsi="Helvetica" w:cs="Arial"/>
          <w:color w:val="000000" w:themeColor="text1"/>
          <w:sz w:val="22"/>
          <w:szCs w:val="22"/>
        </w:rPr>
        <w:t xml:space="preserve"> </w:t>
      </w:r>
      <w:r w:rsidR="009C3C19" w:rsidRPr="00427BDE">
        <w:rPr>
          <w:rFonts w:ascii="Helvetica" w:hAnsi="Helvetica" w:cs="Arial"/>
          <w:color w:val="000000" w:themeColor="text1"/>
          <w:sz w:val="22"/>
          <w:szCs w:val="22"/>
        </w:rPr>
        <w:t>This</w:t>
      </w:r>
      <w:r w:rsidR="00055EFC" w:rsidRPr="00427BDE">
        <w:rPr>
          <w:rFonts w:ascii="Helvetica" w:hAnsi="Helvetica" w:cs="Arial"/>
          <w:color w:val="000000" w:themeColor="text1"/>
          <w:sz w:val="22"/>
          <w:szCs w:val="22"/>
        </w:rPr>
        <w:t xml:space="preserve"> slight elevation in </w:t>
      </w:r>
      <w:r w:rsidR="00055EFC" w:rsidRPr="00427BDE">
        <w:rPr>
          <w:rFonts w:ascii="Helvetica" w:hAnsi="Helvetica" w:cs="Arial"/>
          <w:i/>
          <w:color w:val="000000" w:themeColor="text1"/>
          <w:sz w:val="22"/>
          <w:szCs w:val="22"/>
        </w:rPr>
        <w:t>xol-1</w:t>
      </w:r>
      <w:r w:rsidR="00055EFC" w:rsidRPr="00427BDE">
        <w:rPr>
          <w:rFonts w:ascii="Helvetica" w:hAnsi="Helvetica" w:cs="Arial"/>
          <w:color w:val="000000" w:themeColor="text1"/>
          <w:sz w:val="22"/>
          <w:szCs w:val="22"/>
        </w:rPr>
        <w:t xml:space="preserve"> transcript levels </w:t>
      </w:r>
      <w:r w:rsidR="009C3C19" w:rsidRPr="00427BDE">
        <w:rPr>
          <w:rFonts w:ascii="Helvetica" w:hAnsi="Helvetica" w:cs="Arial"/>
          <w:color w:val="000000" w:themeColor="text1"/>
          <w:sz w:val="22"/>
          <w:szCs w:val="22"/>
        </w:rPr>
        <w:t>in the presence of</w:t>
      </w:r>
      <w:r w:rsidR="00055EFC" w:rsidRPr="00427BDE">
        <w:rPr>
          <w:rFonts w:ascii="Helvetica" w:hAnsi="Helvetica" w:cs="Arial"/>
          <w:color w:val="000000" w:themeColor="text1"/>
          <w:sz w:val="22"/>
          <w:szCs w:val="22"/>
        </w:rPr>
        <w:t xml:space="preserve"> high FOX-1 might result from</w:t>
      </w:r>
      <w:r w:rsidR="00454973" w:rsidRPr="00427BDE">
        <w:rPr>
          <w:rFonts w:ascii="Helvetica" w:hAnsi="Helvetica" w:cs="Arial"/>
          <w:color w:val="000000" w:themeColor="text1"/>
          <w:sz w:val="22"/>
          <w:szCs w:val="22"/>
        </w:rPr>
        <w:t xml:space="preserve"> the RNA-</w:t>
      </w:r>
      <w:r w:rsidR="00055EFC" w:rsidRPr="00427BDE">
        <w:rPr>
          <w:rFonts w:ascii="Helvetica" w:hAnsi="Helvetica" w:cs="Arial"/>
          <w:color w:val="000000" w:themeColor="text1"/>
          <w:sz w:val="22"/>
          <w:szCs w:val="22"/>
        </w:rPr>
        <w:t xml:space="preserve">bound FOX-1 causing increased </w:t>
      </w:r>
      <w:r w:rsidR="00055EFC" w:rsidRPr="00427BDE">
        <w:rPr>
          <w:rFonts w:ascii="Helvetica" w:hAnsi="Helvetica" w:cs="Arial"/>
          <w:color w:val="000000" w:themeColor="text1"/>
          <w:sz w:val="22"/>
          <w:szCs w:val="22"/>
        </w:rPr>
        <w:lastRenderedPageBreak/>
        <w:t xml:space="preserve">stability of </w:t>
      </w:r>
      <w:r w:rsidR="00055EFC" w:rsidRPr="00427BDE">
        <w:rPr>
          <w:rFonts w:ascii="Helvetica" w:hAnsi="Helvetica" w:cs="Arial"/>
          <w:i/>
          <w:color w:val="000000" w:themeColor="text1"/>
          <w:sz w:val="22"/>
          <w:szCs w:val="22"/>
        </w:rPr>
        <w:t>xol-1</w:t>
      </w:r>
      <w:r w:rsidR="00055EFC" w:rsidRPr="00427BDE">
        <w:rPr>
          <w:rFonts w:ascii="Helvetica" w:hAnsi="Helvetica" w:cs="Arial"/>
          <w:color w:val="000000" w:themeColor="text1"/>
          <w:sz w:val="22"/>
          <w:szCs w:val="22"/>
        </w:rPr>
        <w:t xml:space="preserve"> transcripts</w:t>
      </w:r>
      <w:r w:rsidR="00454973" w:rsidRPr="00427BDE">
        <w:rPr>
          <w:rFonts w:ascii="Helvetica" w:hAnsi="Helvetica" w:cs="Arial"/>
          <w:color w:val="000000" w:themeColor="text1"/>
          <w:sz w:val="22"/>
          <w:szCs w:val="22"/>
        </w:rPr>
        <w:t xml:space="preserve">, as it does </w:t>
      </w:r>
      <w:r w:rsidR="005C1E5B" w:rsidRPr="00427BDE">
        <w:rPr>
          <w:rFonts w:ascii="Helvetica" w:hAnsi="Helvetica" w:cs="Arial"/>
          <w:color w:val="000000" w:themeColor="text1"/>
          <w:sz w:val="22"/>
          <w:szCs w:val="22"/>
        </w:rPr>
        <w:t>for mammalian transcripts</w:t>
      </w:r>
      <w:r w:rsidR="00454973" w:rsidRPr="00427BDE">
        <w:rPr>
          <w:rFonts w:ascii="Helvetica" w:hAnsi="Helvetica" w:cs="Arial"/>
          <w:color w:val="000000" w:themeColor="text1"/>
          <w:sz w:val="22"/>
          <w:szCs w:val="22"/>
        </w:rPr>
        <w:t xml:space="preserve"> </w:t>
      </w:r>
      <w:r w:rsidR="00F96F9C">
        <w:rPr>
          <w:rFonts w:ascii="Helvetica" w:hAnsi="Helvetica" w:cs="Arial"/>
          <w:color w:val="000000" w:themeColor="text1"/>
          <w:sz w:val="22"/>
          <w:szCs w:val="22"/>
        </w:rPr>
        <w:fldChar w:fldCharType="begin"/>
      </w:r>
      <w:r w:rsidR="000348D4">
        <w:rPr>
          <w:rFonts w:ascii="Helvetica" w:hAnsi="Helvetica" w:cs="Arial"/>
          <w:color w:val="000000" w:themeColor="text1"/>
          <w:sz w:val="22"/>
          <w:szCs w:val="22"/>
        </w:rPr>
        <w:instrText xml:space="preserve"> ADDIN ZOTERO_ITEM CSL_CITATION {"citationID":"D3kSQIdI","properties":{"formattedCitation":"(Lee et al., 2016; Ray et al., 2013)","plainCitation":"(Lee et al., 2016; Ray et al., 2013)","noteIndex":0},"citationItems":[{"id":132,"uris":["http://zotero.org/users/local/ytQHEVFG/items/TWA2NIDV"],"uri":["http://zotero.org/users/local/ytQHEVFG/items/TWA2NIDV"],"itemData":{"id":132,"type":"article-journal","abstract":"Human genetic studies have identified the neuronal RNA binding protein, Rbfox1, as a candidate gene for autism spectrum disorders. While Rbfox1 functions as a splicing regulator in the nucleus, it is also alternatively spliced to produce cytoplasmic isoforms. To investigate the function of cytoplasmic Rbfox1, we knocked down Rbfox proteins in mouse neurons and rescued with cytoplasmic or nuclear Rbfox1. Transcriptome profiling showed that nuclear Rbfox1 rescued splicing changes, whereas cytoplasmic Rbfox1 rescued changes in mRNA levels. iCLIP-seq of subcellular fractions revealed that Rbfox1 bound predominantly to introns in nascent RNA, while cytoplasmic Rbox1 bound to 3' UTRs. Cytoplasmic Rbfox1 binding increased target mRNA stability and translation, and Rbfox1 and miRNA binding sites overlapped significantly. Cytoplasmic Rbfox1 target mRNAs were enriched in genes involved in cortical development and autism. Our results uncover a new Rbfox1 regulatory network and highlight the importance of cytoplasmic RNA metabolism to cortical development and disease.","container-title":"Neuron","DOI":"10.1016/j.neuron.2015.11.025","ISSN":"1097-4199","issue":"1","journalAbbreviation":"Neuron","language":"eng","note":"PMID: 26687839\nPMCID: PMC4858412","page":"113-128","source":"PubMed","title":"Cytoplasmic Rbfox1 Regulates the Expression of Synaptic and Autism-Related Genes","volume":"89","author":[{"family":"Lee","given":"Ji-Ann"},{"family":"Damianov","given":"Andrey"},{"family":"Lin","given":"Chia-Ho"},{"family":"Fontes","given":"Mariana"},{"family":"Parikshak","given":"Neelroop N."},{"family":"Anderson","given":"Erik S."},{"family":"Geschwind","given":"Daniel H."},{"family":"Black","given":"Douglas L."},{"family":"Martin","given":"Kelsey C."}],"issued":{"date-parts":[["2016",1,6]]}}},{"id":135,"uris":["http://zotero.org/users/local/ytQHEVFG/items/KARCX2ED"],"uri":["http://zotero.org/users/local/ytQHEVFG/items/KARCX2ED"],"itemData":{"id":135,"type":"article-journal","abstract":"RNA-binding proteins are key regulators of gene expression, yet only a small fraction have been functionally characterized. Here we report a systematic analysis of the RNA motifs recognized by RNA-binding proteins, encompassing 205 distinct genes from 24 diverse eukaryotes. The sequence specificities of RNA-binding proteins display deep evolutionary conservation, and the recognition preferences for a large fraction of metazoan RNA-binding proteins can thus be inferred from their RNA-binding domain sequence. The motifs that we identify in vitro correlate well with in vivo RNA-binding data. Moreover, we can associate them with distinct functional roles in diverse types of post-transcriptional regulation, enabling new insights into the functions of RNA-binding proteins both in normal physiology and in human disease. These data provide an unprecedented overview of RNA-binding proteins and their targets, and constitute an invaluable resource for determining post-transcriptional regulatory mechanisms in eukaryotes.","container-title":"Nature","DOI":"10.1038/nature12311","ISSN":"1476-4687","issue":"7457","journalAbbreviation":"Nature","language":"eng","note":"PMID: 23846655\nPMCID: PMC3929597","page":"172-177","source":"PubMed","title":"A compendium of RNA-binding motifs for decoding gene regulation","volume":"499","author":[{"family":"Ray","given":"Debashish"},{"family":"Kazan","given":"Hilal"},{"family":"Cook","given":"Kate B."},{"family":"Weirauch","given":"Matthew T."},{"family":"Najafabadi","given":"Hamed S."},{"family":"Li","given":"Xiao"},{"family":"Gueroussov","given":"Serge"},{"family":"Albu","given":"Mihai"},{"family":"Zheng","given":"Hong"},{"family":"Yang","given":"Ally"},{"family":"Na","given":"Hong"},{"family":"Irimia","given":"Manuel"},{"family":"Matzat","given":"Leah H."},{"family":"Dale","given":"Ryan K."},{"family":"Smith","given":"Sarah A."},{"family":"Yarosh","given":"Christopher A."},{"family":"Kelly","given":"Seth M."},{"family":"Nabet","given":"Behnam"},{"family":"Mecenas","given":"Desirea"},{"family":"Li","given":"Weimin"},{"family":"Laishram","given":"Rakesh S."},{"family":"Qiao","given":"Mei"},{"family":"Lipshitz","given":"Howard D."},{"family":"Piano","given":"Fabio"},{"family":"Corbett","given":"Anita H."},{"family":"Carstens","given":"Russ P."},{"family":"Frey","given":"Brendan J."},{"family":"Anderson","given":"Richard A."},{"family":"Lynch","given":"Kristen W."},{"family":"Penalva","given":"Luiz O. F."},{"family":"Lei","given":"Elissa P."},{"family":"Fraser","given":"Andrew G."},{"family":"Blencowe","given":"Benjamin J."},{"family":"Morris","given":"Quaid D."},{"family":"Hughes","given":"Timothy R."}],"issued":{"date-parts":[["2013",7,11]]}}}],"schema":"https://github.com/citation-style-language/schema/raw/master/csl-citation.json"} </w:instrText>
      </w:r>
      <w:r w:rsidR="00F96F9C">
        <w:rPr>
          <w:rFonts w:ascii="Helvetica" w:hAnsi="Helvetica" w:cs="Arial"/>
          <w:color w:val="000000" w:themeColor="text1"/>
          <w:sz w:val="22"/>
          <w:szCs w:val="22"/>
        </w:rPr>
        <w:fldChar w:fldCharType="separate"/>
      </w:r>
      <w:r w:rsidR="000348D4">
        <w:rPr>
          <w:rFonts w:ascii="Helvetica" w:hAnsi="Helvetica" w:cs="Arial"/>
          <w:noProof/>
          <w:color w:val="000000" w:themeColor="text1"/>
          <w:sz w:val="22"/>
          <w:szCs w:val="22"/>
        </w:rPr>
        <w:t>(Lee et al., 2016; Ray et al., 2013)</w:t>
      </w:r>
      <w:r w:rsidR="00F96F9C">
        <w:rPr>
          <w:rFonts w:ascii="Helvetica" w:hAnsi="Helvetica" w:cs="Arial"/>
          <w:color w:val="000000" w:themeColor="text1"/>
          <w:sz w:val="22"/>
          <w:szCs w:val="22"/>
        </w:rPr>
        <w:fldChar w:fldCharType="end"/>
      </w:r>
      <w:r w:rsidR="00055EFC" w:rsidRPr="00427BDE">
        <w:rPr>
          <w:rFonts w:ascii="Helvetica" w:hAnsi="Helvetica" w:cs="Arial"/>
          <w:color w:val="FF0000"/>
          <w:sz w:val="22"/>
          <w:szCs w:val="22"/>
        </w:rPr>
        <w:t>.</w:t>
      </w:r>
      <w:r w:rsidR="00055EFC" w:rsidRPr="00427BDE">
        <w:rPr>
          <w:rFonts w:ascii="Helvetica" w:hAnsi="Helvetica" w:cs="Arial"/>
          <w:color w:val="000000" w:themeColor="text1"/>
          <w:sz w:val="22"/>
          <w:szCs w:val="22"/>
        </w:rPr>
        <w:t xml:space="preserve">  Both the 2.2</w:t>
      </w:r>
      <w:r w:rsidR="00A5447A" w:rsidRPr="00427BDE">
        <w:rPr>
          <w:rFonts w:ascii="Helvetica" w:hAnsi="Helvetica" w:cs="Arial"/>
          <w:color w:val="000000" w:themeColor="text1"/>
          <w:sz w:val="22"/>
          <w:szCs w:val="22"/>
        </w:rPr>
        <w:t xml:space="preserve"> kb</w:t>
      </w:r>
      <w:r w:rsidR="00055EFC" w:rsidRPr="00427BDE">
        <w:rPr>
          <w:rFonts w:ascii="Helvetica" w:hAnsi="Helvetica" w:cs="Arial"/>
          <w:color w:val="000000" w:themeColor="text1"/>
          <w:sz w:val="22"/>
          <w:szCs w:val="22"/>
        </w:rPr>
        <w:t xml:space="preserve"> and 2.5 kb transcripts have GCACG FOX-1 binding sites in their 3' UTRs</w:t>
      </w:r>
      <w:r w:rsidR="00454973" w:rsidRPr="00427BDE">
        <w:rPr>
          <w:rFonts w:ascii="Helvetica" w:hAnsi="Helvetica" w:cs="Arial"/>
          <w:color w:val="000000" w:themeColor="text1"/>
          <w:sz w:val="22"/>
          <w:szCs w:val="22"/>
        </w:rPr>
        <w:t xml:space="preserve">, </w:t>
      </w:r>
      <w:r w:rsidR="00A5447A" w:rsidRPr="00427BDE">
        <w:rPr>
          <w:rFonts w:ascii="Helvetica" w:hAnsi="Helvetica" w:cs="Arial"/>
          <w:color w:val="000000" w:themeColor="text1"/>
          <w:sz w:val="22"/>
          <w:szCs w:val="22"/>
        </w:rPr>
        <w:t>and the</w:t>
      </w:r>
      <w:r w:rsidR="00454973" w:rsidRPr="00427BDE">
        <w:rPr>
          <w:rFonts w:ascii="Helvetica" w:hAnsi="Helvetica" w:cs="Arial"/>
          <w:color w:val="000000" w:themeColor="text1"/>
          <w:sz w:val="22"/>
          <w:szCs w:val="22"/>
        </w:rPr>
        <w:t xml:space="preserve"> retained intron VI in the 2.5 kb transcript</w:t>
      </w:r>
      <w:r w:rsidR="00A5447A" w:rsidRPr="00427BDE">
        <w:rPr>
          <w:rFonts w:ascii="Helvetica" w:hAnsi="Helvetica" w:cs="Arial"/>
          <w:color w:val="000000" w:themeColor="text1"/>
          <w:sz w:val="22"/>
          <w:szCs w:val="22"/>
        </w:rPr>
        <w:t xml:space="preserve"> has both GCAUG and GCACG sites</w:t>
      </w:r>
      <w:r w:rsidR="00454973" w:rsidRPr="00427BDE">
        <w:rPr>
          <w:rFonts w:ascii="Helvetica" w:hAnsi="Helvetica" w:cs="Arial"/>
          <w:color w:val="000000" w:themeColor="text1"/>
          <w:sz w:val="22"/>
          <w:szCs w:val="22"/>
        </w:rPr>
        <w:t xml:space="preserve">. </w:t>
      </w:r>
    </w:p>
    <w:sectPr w:rsidR="009B2126" w:rsidRPr="00427BDE" w:rsidSect="0082572F">
      <w:pgSz w:w="12240" w:h="15840"/>
      <w:pgMar w:top="792" w:right="1080" w:bottom="720"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1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9"/>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E96"/>
    <w:rsid w:val="000348D4"/>
    <w:rsid w:val="00055EFC"/>
    <w:rsid w:val="000B008C"/>
    <w:rsid w:val="000E0067"/>
    <w:rsid w:val="00145210"/>
    <w:rsid w:val="0020498D"/>
    <w:rsid w:val="00246BE0"/>
    <w:rsid w:val="002F203B"/>
    <w:rsid w:val="003540A9"/>
    <w:rsid w:val="00366481"/>
    <w:rsid w:val="003919A2"/>
    <w:rsid w:val="003A51F5"/>
    <w:rsid w:val="00402840"/>
    <w:rsid w:val="00422481"/>
    <w:rsid w:val="00427BDE"/>
    <w:rsid w:val="00454973"/>
    <w:rsid w:val="005C1E5B"/>
    <w:rsid w:val="0060462D"/>
    <w:rsid w:val="0060628C"/>
    <w:rsid w:val="007011CC"/>
    <w:rsid w:val="00752629"/>
    <w:rsid w:val="00812C39"/>
    <w:rsid w:val="0082572F"/>
    <w:rsid w:val="008F4880"/>
    <w:rsid w:val="00931A52"/>
    <w:rsid w:val="00950DF2"/>
    <w:rsid w:val="009B2126"/>
    <w:rsid w:val="009C3C19"/>
    <w:rsid w:val="00A5447A"/>
    <w:rsid w:val="00B12E96"/>
    <w:rsid w:val="00B52E85"/>
    <w:rsid w:val="00D80ED1"/>
    <w:rsid w:val="00D91134"/>
    <w:rsid w:val="00D94DB8"/>
    <w:rsid w:val="00DE1CFC"/>
    <w:rsid w:val="00E47AD6"/>
    <w:rsid w:val="00EB241B"/>
    <w:rsid w:val="00F83F0E"/>
    <w:rsid w:val="00F96F9C"/>
    <w:rsid w:val="00FB109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7E22A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64C09"/>
    <w:rPr>
      <w:rFonts w:ascii="Lucida Grande" w:hAnsi="Lucida Grande"/>
      <w:sz w:val="18"/>
      <w:szCs w:val="18"/>
    </w:rPr>
  </w:style>
  <w:style w:type="table" w:styleId="TableGrid">
    <w:name w:val="Table Grid"/>
    <w:basedOn w:val="TableNormal"/>
    <w:uiPriority w:val="59"/>
    <w:rsid w:val="00246BE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64C09"/>
    <w:rPr>
      <w:rFonts w:ascii="Lucida Grande" w:hAnsi="Lucida Grande"/>
      <w:sz w:val="18"/>
      <w:szCs w:val="18"/>
    </w:rPr>
  </w:style>
  <w:style w:type="table" w:styleId="TableGrid">
    <w:name w:val="Table Grid"/>
    <w:basedOn w:val="TableNormal"/>
    <w:uiPriority w:val="59"/>
    <w:rsid w:val="00246BE0"/>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1126</Words>
  <Characters>6420</Characters>
  <Application>Microsoft Macintosh Word</Application>
  <DocSecurity>0</DocSecurity>
  <Lines>53</Lines>
  <Paragraphs>15</Paragraphs>
  <ScaleCrop>false</ScaleCrop>
  <Company>UCB</Company>
  <LinksUpToDate>false</LinksUpToDate>
  <CharactersWithSpaces>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Meyer</dc:creator>
  <cp:keywords/>
  <dc:description/>
  <cp:lastModifiedBy>Barbara Meyer</cp:lastModifiedBy>
  <cp:revision>4</cp:revision>
  <cp:lastPrinted>2018-01-05T00:22:00Z</cp:lastPrinted>
  <dcterms:created xsi:type="dcterms:W3CDTF">2020-12-16T22:45:00Z</dcterms:created>
  <dcterms:modified xsi:type="dcterms:W3CDTF">2020-12-22T16:04:00Z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zotero-version="5.0.93"&gt;&lt;session id="76eKOsBK"/&gt;&lt;style id="http://www.zotero.org/styles/elife" hasBibliography="1" bibliographyStyleHasBeenSet="0"/&gt;&lt;prefs&gt;&lt;pref name="fieldType" value="Field"/&gt;&lt;/prefs&gt;&lt;/data&gt;</vt:lpwstr>
  </property>
</Properties>
</file>