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49BC36B" w14:textId="2316A729" w:rsidR="007D1B64" w:rsidRPr="00125190" w:rsidRDefault="007D1B64" w:rsidP="007D1B6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indicated in the figure legends and/or the Material and Method section.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1B72401" w:rsidR="00B330BD" w:rsidRPr="00E67CEB" w:rsidRDefault="009650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CEB">
        <w:rPr>
          <w:rFonts w:asciiTheme="minorHAnsi" w:hAnsiTheme="minorHAnsi"/>
          <w:sz w:val="22"/>
          <w:szCs w:val="22"/>
        </w:rPr>
        <w:lastRenderedPageBreak/>
        <w:t>Detailed i</w:t>
      </w:r>
      <w:r w:rsidR="007D1B64" w:rsidRPr="00E67CEB">
        <w:rPr>
          <w:rFonts w:asciiTheme="minorHAnsi" w:hAnsiTheme="minorHAnsi"/>
          <w:sz w:val="22"/>
          <w:szCs w:val="22"/>
        </w:rPr>
        <w:t>nformation regarding replicates are indicated in the figure legends and/or the Material and Method section</w:t>
      </w:r>
      <w:r w:rsidR="005E3675" w:rsidRPr="00E67CEB">
        <w:rPr>
          <w:rFonts w:asciiTheme="minorHAnsi" w:hAnsiTheme="minorHAnsi"/>
          <w:sz w:val="22"/>
          <w:szCs w:val="22"/>
        </w:rPr>
        <w:t xml:space="preserve">. </w:t>
      </w:r>
      <w:r w:rsidR="00A508F2" w:rsidRPr="00E67CEB">
        <w:rPr>
          <w:rFonts w:asciiTheme="minorHAnsi" w:hAnsiTheme="minorHAnsi"/>
          <w:sz w:val="22"/>
          <w:szCs w:val="22"/>
        </w:rPr>
        <w:t xml:space="preserve">High-throughput small RNA sequencing and bisulfite sequencing datasets are accessible on SRA under the </w:t>
      </w:r>
      <w:proofErr w:type="spellStart"/>
      <w:r w:rsidR="00A508F2" w:rsidRPr="00E67CEB">
        <w:rPr>
          <w:rFonts w:asciiTheme="minorHAnsi" w:hAnsiTheme="minorHAnsi"/>
          <w:sz w:val="22"/>
          <w:szCs w:val="22"/>
        </w:rPr>
        <w:t>bioproject</w:t>
      </w:r>
      <w:proofErr w:type="spellEnd"/>
      <w:r w:rsidR="00A508F2" w:rsidRPr="00E67CEB">
        <w:rPr>
          <w:rFonts w:asciiTheme="minorHAnsi" w:hAnsiTheme="minorHAnsi"/>
          <w:sz w:val="22"/>
          <w:szCs w:val="22"/>
        </w:rPr>
        <w:t xml:space="preserve"> accession: PRJNA434451.  </w:t>
      </w:r>
    </w:p>
    <w:p w14:paraId="44540408" w14:textId="77777777" w:rsidR="00D81D61" w:rsidRPr="00E67CEB" w:rsidRDefault="00D81D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10EF258" w14:textId="512F3811" w:rsidR="005E3675" w:rsidRPr="002F5EFB" w:rsidRDefault="00A508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E67CEB">
        <w:rPr>
          <w:rFonts w:asciiTheme="minorHAnsi" w:hAnsiTheme="minorHAnsi"/>
          <w:b/>
          <w:i/>
          <w:sz w:val="22"/>
          <w:szCs w:val="22"/>
        </w:rPr>
        <w:t>Pto</w:t>
      </w:r>
      <w:proofErr w:type="spellEnd"/>
      <w:r w:rsidRPr="00E67CEB">
        <w:rPr>
          <w:rFonts w:asciiTheme="minorHAnsi" w:hAnsiTheme="minorHAnsi"/>
          <w:b/>
          <w:sz w:val="22"/>
          <w:szCs w:val="22"/>
        </w:rPr>
        <w:t xml:space="preserve"> </w:t>
      </w:r>
      <w:r w:rsidR="005E3675" w:rsidRPr="00E67CEB">
        <w:rPr>
          <w:rFonts w:asciiTheme="minorHAnsi" w:hAnsiTheme="minorHAnsi"/>
          <w:b/>
          <w:sz w:val="22"/>
          <w:szCs w:val="22"/>
        </w:rPr>
        <w:t xml:space="preserve">DC3000 </w:t>
      </w:r>
      <w:proofErr w:type="spellStart"/>
      <w:r w:rsidR="005E3675" w:rsidRPr="00E67CEB">
        <w:rPr>
          <w:rFonts w:asciiTheme="minorHAnsi" w:hAnsiTheme="minorHAnsi"/>
          <w:b/>
          <w:sz w:val="22"/>
          <w:szCs w:val="22"/>
        </w:rPr>
        <w:t>apoplastic</w:t>
      </w:r>
      <w:proofErr w:type="spellEnd"/>
      <w:r w:rsidR="005E3675" w:rsidRPr="00E67CEB">
        <w:rPr>
          <w:rFonts w:asciiTheme="minorHAnsi" w:hAnsiTheme="minorHAnsi"/>
          <w:b/>
          <w:sz w:val="22"/>
          <w:szCs w:val="22"/>
        </w:rPr>
        <w:t xml:space="preserve"> growth</w:t>
      </w:r>
      <w:r w:rsidR="005E3675" w:rsidRPr="00E67CEB">
        <w:rPr>
          <w:rFonts w:asciiTheme="minorHAnsi" w:hAnsiTheme="minorHAnsi"/>
          <w:sz w:val="22"/>
          <w:szCs w:val="22"/>
        </w:rPr>
        <w:t xml:space="preserve">: At least 6 biological replicates were collected per experiment. </w:t>
      </w:r>
      <w:r w:rsidR="00FA4EC7" w:rsidRPr="002F5EFB">
        <w:rPr>
          <w:rFonts w:asciiTheme="minorHAnsi" w:hAnsiTheme="minorHAnsi"/>
          <w:sz w:val="22"/>
          <w:szCs w:val="22"/>
          <w:lang w:val="en-GB"/>
        </w:rPr>
        <w:t>The values from three independent experiments were considered for the comparative analysis.</w:t>
      </w:r>
    </w:p>
    <w:p w14:paraId="30657DAD" w14:textId="77777777" w:rsidR="002F5EFB" w:rsidRPr="00E67CEB" w:rsidRDefault="002F5E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</w:p>
    <w:p w14:paraId="40931B28" w14:textId="1B86B6E6" w:rsidR="002F5EFB" w:rsidRPr="002F5EFB" w:rsidRDefault="00A508F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E67CEB">
        <w:rPr>
          <w:rFonts w:asciiTheme="minorHAnsi" w:hAnsiTheme="minorHAnsi"/>
          <w:b/>
          <w:i/>
          <w:sz w:val="22"/>
          <w:szCs w:val="22"/>
        </w:rPr>
        <w:t>Pto</w:t>
      </w:r>
      <w:proofErr w:type="spellEnd"/>
      <w:r w:rsidRPr="00E67CEB">
        <w:rPr>
          <w:rFonts w:asciiTheme="minorHAnsi" w:hAnsiTheme="minorHAnsi"/>
          <w:b/>
          <w:sz w:val="22"/>
          <w:szCs w:val="22"/>
        </w:rPr>
        <w:t xml:space="preserve"> </w:t>
      </w:r>
      <w:r w:rsidR="005E3675" w:rsidRPr="00E67CEB">
        <w:rPr>
          <w:rFonts w:asciiTheme="minorHAnsi" w:hAnsiTheme="minorHAnsi"/>
          <w:b/>
          <w:sz w:val="22"/>
          <w:szCs w:val="22"/>
        </w:rPr>
        <w:t xml:space="preserve">DC3000 </w:t>
      </w:r>
      <w:r w:rsidR="009650A2" w:rsidRPr="00E67CEB">
        <w:rPr>
          <w:rFonts w:asciiTheme="minorHAnsi" w:hAnsiTheme="minorHAnsi"/>
          <w:b/>
          <w:sz w:val="22"/>
          <w:szCs w:val="22"/>
        </w:rPr>
        <w:t xml:space="preserve">vascular </w:t>
      </w:r>
      <w:r w:rsidR="005E3675" w:rsidRPr="00E67CEB">
        <w:rPr>
          <w:rFonts w:asciiTheme="minorHAnsi" w:hAnsiTheme="minorHAnsi"/>
          <w:b/>
          <w:sz w:val="22"/>
          <w:szCs w:val="22"/>
        </w:rPr>
        <w:t>propagation</w:t>
      </w:r>
      <w:r w:rsidR="005E3675" w:rsidRPr="00E67CEB">
        <w:rPr>
          <w:rFonts w:asciiTheme="minorHAnsi" w:hAnsiTheme="minorHAnsi"/>
          <w:sz w:val="22"/>
          <w:szCs w:val="22"/>
        </w:rPr>
        <w:t xml:space="preserve">: </w:t>
      </w:r>
      <w:r w:rsidR="00407B46" w:rsidRPr="00E67CEB">
        <w:rPr>
          <w:rFonts w:asciiTheme="minorHAnsi" w:hAnsiTheme="minorHAnsi"/>
          <w:sz w:val="22"/>
          <w:szCs w:val="22"/>
        </w:rPr>
        <w:t>At least 10 biological replicates were collected per experiment</w:t>
      </w:r>
      <w:r w:rsidR="00526DCF" w:rsidRPr="00E67CEB">
        <w:rPr>
          <w:rFonts w:asciiTheme="minorHAnsi" w:hAnsiTheme="minorHAnsi"/>
          <w:sz w:val="22"/>
          <w:szCs w:val="22"/>
        </w:rPr>
        <w:t xml:space="preserve">. </w:t>
      </w:r>
      <w:r w:rsidR="00407B46" w:rsidRPr="00E67CEB">
        <w:rPr>
          <w:rFonts w:asciiTheme="minorHAnsi" w:hAnsiTheme="minorHAnsi"/>
          <w:sz w:val="22"/>
          <w:szCs w:val="22"/>
        </w:rPr>
        <w:t xml:space="preserve"> </w:t>
      </w:r>
      <w:r w:rsidR="00FA4EC7" w:rsidRPr="00E67CEB">
        <w:rPr>
          <w:rFonts w:asciiTheme="minorHAnsi" w:hAnsiTheme="minorHAnsi"/>
          <w:sz w:val="22"/>
          <w:szCs w:val="22"/>
          <w:lang w:val="en-GB"/>
        </w:rPr>
        <w:t xml:space="preserve">The values from three independent experiments were considered for the comparative analysis. </w:t>
      </w:r>
    </w:p>
    <w:p w14:paraId="45BFB299" w14:textId="3F7DC18F" w:rsidR="005E3675" w:rsidRPr="00E67CEB" w:rsidRDefault="005E367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A409847" w14:textId="1A235D6A" w:rsidR="005E3675" w:rsidRDefault="00407B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spellStart"/>
      <w:r w:rsidRPr="00E67CEB">
        <w:rPr>
          <w:rFonts w:asciiTheme="minorHAnsi" w:hAnsiTheme="minorHAnsi"/>
          <w:b/>
          <w:sz w:val="22"/>
          <w:szCs w:val="22"/>
        </w:rPr>
        <w:t>qRT</w:t>
      </w:r>
      <w:proofErr w:type="spellEnd"/>
      <w:r w:rsidRPr="00E67CEB">
        <w:rPr>
          <w:rFonts w:asciiTheme="minorHAnsi" w:hAnsiTheme="minorHAnsi"/>
          <w:b/>
          <w:sz w:val="22"/>
          <w:szCs w:val="22"/>
        </w:rPr>
        <w:t>-PCR</w:t>
      </w:r>
      <w:r w:rsidR="005E3675" w:rsidRPr="00E67CEB">
        <w:rPr>
          <w:rFonts w:asciiTheme="minorHAnsi" w:hAnsiTheme="minorHAnsi"/>
          <w:sz w:val="22"/>
          <w:szCs w:val="22"/>
        </w:rPr>
        <w:t xml:space="preserve">: </w:t>
      </w:r>
      <w:r w:rsidRPr="00E67CEB">
        <w:rPr>
          <w:rFonts w:asciiTheme="minorHAnsi" w:hAnsiTheme="minorHAnsi"/>
          <w:sz w:val="22"/>
          <w:szCs w:val="22"/>
        </w:rPr>
        <w:t xml:space="preserve">For each condition, two technical and three biological replicates </w:t>
      </w:r>
      <w:r w:rsidR="00FA4EC7" w:rsidRPr="00E67CEB">
        <w:rPr>
          <w:rFonts w:asciiTheme="minorHAnsi" w:hAnsiTheme="minorHAnsi"/>
          <w:sz w:val="22"/>
          <w:szCs w:val="22"/>
        </w:rPr>
        <w:t xml:space="preserve">(2 leaves </w:t>
      </w:r>
      <w:r w:rsidR="00FA4EC7" w:rsidRPr="00E67CEB">
        <w:rPr>
          <w:rFonts w:asciiTheme="minorHAnsi" w:hAnsiTheme="minorHAnsi"/>
          <w:sz w:val="22"/>
          <w:szCs w:val="22"/>
          <w:lang w:val="en-GB"/>
        </w:rPr>
        <w:t>per individual plant per condition</w:t>
      </w:r>
      <w:r w:rsidR="00FA4EC7" w:rsidRPr="00E67CEB">
        <w:rPr>
          <w:rFonts w:asciiTheme="minorHAnsi" w:hAnsiTheme="minorHAnsi"/>
          <w:sz w:val="22"/>
          <w:szCs w:val="22"/>
        </w:rPr>
        <w:t xml:space="preserve">) </w:t>
      </w:r>
      <w:r w:rsidRPr="00E67CEB">
        <w:rPr>
          <w:rFonts w:asciiTheme="minorHAnsi" w:hAnsiTheme="minorHAnsi"/>
          <w:sz w:val="22"/>
          <w:szCs w:val="22"/>
        </w:rPr>
        <w:t xml:space="preserve">were used. Two independent experiments </w:t>
      </w:r>
      <w:r w:rsidR="005B3A60" w:rsidRPr="00E67CEB">
        <w:rPr>
          <w:rFonts w:asciiTheme="minorHAnsi" w:hAnsiTheme="minorHAnsi"/>
          <w:sz w:val="22"/>
          <w:szCs w:val="22"/>
        </w:rPr>
        <w:t>were performed</w:t>
      </w:r>
      <w:r w:rsidRPr="00E67CEB">
        <w:rPr>
          <w:rFonts w:asciiTheme="minorHAnsi" w:hAnsiTheme="minorHAnsi"/>
          <w:sz w:val="22"/>
          <w:szCs w:val="22"/>
        </w:rPr>
        <w:t>.</w:t>
      </w:r>
    </w:p>
    <w:p w14:paraId="308C9805" w14:textId="77777777" w:rsidR="002F5EFB" w:rsidRPr="00E67CEB" w:rsidRDefault="002F5E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B3FC83B" w14:textId="59C36666" w:rsidR="00407B46" w:rsidRPr="00E67CEB" w:rsidRDefault="00407B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CEB">
        <w:rPr>
          <w:rFonts w:asciiTheme="minorHAnsi" w:hAnsiTheme="minorHAnsi"/>
          <w:b/>
          <w:sz w:val="22"/>
          <w:szCs w:val="22"/>
        </w:rPr>
        <w:t>DAP-qPCR</w:t>
      </w:r>
      <w:bookmarkStart w:id="0" w:name="_GoBack"/>
      <w:bookmarkEnd w:id="0"/>
      <w:r w:rsidRPr="00E67CEB">
        <w:rPr>
          <w:rFonts w:asciiTheme="minorHAnsi" w:hAnsiTheme="minorHAnsi"/>
          <w:sz w:val="22"/>
          <w:szCs w:val="22"/>
        </w:rPr>
        <w:t xml:space="preserve">: </w:t>
      </w:r>
      <w:r w:rsidR="005B3A60" w:rsidRPr="00E67CEB">
        <w:rPr>
          <w:rFonts w:asciiTheme="minorHAnsi" w:hAnsiTheme="minorHAnsi"/>
          <w:sz w:val="22"/>
          <w:szCs w:val="22"/>
        </w:rPr>
        <w:t xml:space="preserve">For each experiment, one biological </w:t>
      </w:r>
      <w:r w:rsidR="00526DCF" w:rsidRPr="00E67CEB">
        <w:rPr>
          <w:rFonts w:asciiTheme="minorHAnsi" w:hAnsiTheme="minorHAnsi"/>
          <w:sz w:val="22"/>
          <w:szCs w:val="22"/>
        </w:rPr>
        <w:t xml:space="preserve">replicate (DNA was extracted from leaves of 3 independent plants) </w:t>
      </w:r>
      <w:r w:rsidR="005B3A60" w:rsidRPr="00E67CEB">
        <w:rPr>
          <w:rFonts w:asciiTheme="minorHAnsi" w:hAnsiTheme="minorHAnsi"/>
          <w:sz w:val="22"/>
          <w:szCs w:val="22"/>
        </w:rPr>
        <w:t xml:space="preserve">per condition has been quantified. Two independent experiments were performed. </w:t>
      </w:r>
    </w:p>
    <w:p w14:paraId="4547CA11" w14:textId="77777777" w:rsidR="00FA4EC7" w:rsidRPr="00E67CEB" w:rsidRDefault="00FA4EC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6586076" w14:textId="567752BB" w:rsidR="009650A2" w:rsidRPr="00E67CEB" w:rsidRDefault="009650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CEB">
        <w:rPr>
          <w:rFonts w:asciiTheme="minorHAnsi" w:hAnsiTheme="minorHAnsi"/>
          <w:b/>
          <w:sz w:val="22"/>
          <w:szCs w:val="22"/>
        </w:rPr>
        <w:t>Preparation of samples for sRNA-</w:t>
      </w:r>
      <w:proofErr w:type="spellStart"/>
      <w:r w:rsidRPr="00E67CEB">
        <w:rPr>
          <w:rFonts w:asciiTheme="minorHAnsi" w:hAnsiTheme="minorHAnsi"/>
          <w:b/>
          <w:sz w:val="22"/>
          <w:szCs w:val="22"/>
        </w:rPr>
        <w:t>seq</w:t>
      </w:r>
      <w:proofErr w:type="spellEnd"/>
      <w:r w:rsidRPr="00E67CEB">
        <w:rPr>
          <w:rFonts w:asciiTheme="minorHAnsi" w:hAnsiTheme="minorHAnsi"/>
          <w:b/>
          <w:sz w:val="22"/>
          <w:szCs w:val="22"/>
        </w:rPr>
        <w:t xml:space="preserve"> and </w:t>
      </w:r>
      <w:proofErr w:type="spellStart"/>
      <w:r w:rsidRPr="00E67CEB">
        <w:rPr>
          <w:rFonts w:asciiTheme="minorHAnsi" w:hAnsiTheme="minorHAnsi"/>
          <w:b/>
          <w:sz w:val="22"/>
          <w:szCs w:val="22"/>
        </w:rPr>
        <w:t>Bs-seq</w:t>
      </w:r>
      <w:proofErr w:type="spellEnd"/>
      <w:r w:rsidRPr="00E67CEB">
        <w:rPr>
          <w:rFonts w:asciiTheme="minorHAnsi" w:hAnsiTheme="minorHAnsi"/>
          <w:b/>
          <w:sz w:val="22"/>
          <w:szCs w:val="22"/>
        </w:rPr>
        <w:t xml:space="preserve"> experiments</w:t>
      </w:r>
      <w:r w:rsidRPr="00E67CEB">
        <w:rPr>
          <w:rFonts w:asciiTheme="minorHAnsi" w:hAnsiTheme="minorHAnsi"/>
          <w:sz w:val="22"/>
          <w:szCs w:val="22"/>
        </w:rPr>
        <w:t>:</w:t>
      </w:r>
    </w:p>
    <w:p w14:paraId="6E1FCE02" w14:textId="14E45460" w:rsidR="00FA4EC7" w:rsidRPr="00E67CEB" w:rsidRDefault="00D006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E67CEB">
        <w:rPr>
          <w:rFonts w:asciiTheme="minorHAnsi" w:hAnsiTheme="minorHAnsi"/>
          <w:sz w:val="22"/>
          <w:szCs w:val="22"/>
          <w:lang w:val="en-GB"/>
        </w:rPr>
        <w:t xml:space="preserve">5-week-old leaves </w:t>
      </w:r>
      <w:r w:rsidR="002F5EFB" w:rsidRPr="00E67CEB">
        <w:rPr>
          <w:rFonts w:asciiTheme="minorHAnsi" w:hAnsiTheme="minorHAnsi"/>
          <w:sz w:val="22"/>
          <w:szCs w:val="22"/>
          <w:lang w:val="en-GB"/>
        </w:rPr>
        <w:t>from three individual plants</w:t>
      </w:r>
      <w:r w:rsidRPr="00E67CEB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F5EFB" w:rsidRPr="00E67CEB">
        <w:rPr>
          <w:rFonts w:asciiTheme="minorHAnsi" w:hAnsiTheme="minorHAnsi"/>
          <w:sz w:val="22"/>
          <w:szCs w:val="22"/>
          <w:lang w:val="en-GB"/>
        </w:rPr>
        <w:t xml:space="preserve">of each genotype </w:t>
      </w:r>
      <w:r w:rsidRPr="00E67CEB">
        <w:rPr>
          <w:rFonts w:asciiTheme="minorHAnsi" w:hAnsiTheme="minorHAnsi"/>
          <w:sz w:val="22"/>
          <w:szCs w:val="22"/>
          <w:lang w:val="en-GB"/>
        </w:rPr>
        <w:t xml:space="preserve">were used for small RNA deep-sequencing (two independent biological replicates </w:t>
      </w:r>
      <w:r w:rsidR="002F5EFB" w:rsidRPr="00E67CEB">
        <w:rPr>
          <w:rFonts w:asciiTheme="minorHAnsi" w:hAnsiTheme="minorHAnsi"/>
          <w:sz w:val="22"/>
          <w:szCs w:val="22"/>
          <w:lang w:val="en-GB"/>
        </w:rPr>
        <w:t>for each analysis).</w:t>
      </w:r>
    </w:p>
    <w:p w14:paraId="1212D04D" w14:textId="77777777" w:rsidR="002F5EFB" w:rsidRPr="00E67CEB" w:rsidRDefault="002F5E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4B262" w14:textId="3AADAA39" w:rsidR="009650A2" w:rsidRPr="00E67CEB" w:rsidRDefault="009650A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CEB">
        <w:rPr>
          <w:rFonts w:asciiTheme="minorHAnsi" w:hAnsiTheme="minorHAnsi"/>
          <w:b/>
          <w:sz w:val="22"/>
          <w:szCs w:val="22"/>
        </w:rPr>
        <w:t>Northern blot analysis</w:t>
      </w:r>
      <w:r w:rsidRPr="00E67CEB">
        <w:rPr>
          <w:rFonts w:asciiTheme="minorHAnsi" w:hAnsiTheme="minorHAnsi"/>
          <w:sz w:val="22"/>
          <w:szCs w:val="22"/>
        </w:rPr>
        <w:t xml:space="preserve">: </w:t>
      </w:r>
    </w:p>
    <w:p w14:paraId="609FA1A7" w14:textId="5F73CA72" w:rsidR="005B3A60" w:rsidRPr="00E67CEB" w:rsidRDefault="002F5E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F4E59">
        <w:rPr>
          <w:rFonts w:asciiTheme="minorHAnsi" w:hAnsiTheme="minorHAnsi"/>
          <w:sz w:val="22"/>
          <w:szCs w:val="22"/>
          <w:lang w:val="en-GB"/>
        </w:rPr>
        <w:t>5-week-old leaves from three individual plants of each genotype were used for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84CBC">
        <w:rPr>
          <w:rFonts w:asciiTheme="minorHAnsi" w:hAnsiTheme="minorHAnsi"/>
          <w:sz w:val="22"/>
          <w:szCs w:val="22"/>
          <w:lang w:val="en-GB"/>
        </w:rPr>
        <w:t xml:space="preserve">the low molecular weight </w:t>
      </w:r>
      <w:r>
        <w:rPr>
          <w:rFonts w:asciiTheme="minorHAnsi" w:hAnsiTheme="minorHAnsi"/>
          <w:sz w:val="22"/>
          <w:szCs w:val="22"/>
          <w:lang w:val="en-GB"/>
        </w:rPr>
        <w:t>Northern blot</w:t>
      </w:r>
      <w:r w:rsidR="00F84CBC">
        <w:rPr>
          <w:rFonts w:asciiTheme="minorHAnsi" w:hAnsiTheme="minorHAnsi"/>
          <w:sz w:val="22"/>
          <w:szCs w:val="22"/>
          <w:lang w:val="en-GB"/>
        </w:rPr>
        <w:t xml:space="preserve"> analysis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1685A119" w14:textId="77777777" w:rsidR="002F5EFB" w:rsidRPr="00E67CEB" w:rsidRDefault="002F5E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AF6BA0C" w14:textId="3CE682AE" w:rsidR="005E3675" w:rsidRPr="00E67CEB" w:rsidRDefault="005B3A6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E67CEB">
        <w:rPr>
          <w:rFonts w:asciiTheme="minorHAnsi" w:hAnsiTheme="minorHAnsi"/>
          <w:sz w:val="22"/>
          <w:szCs w:val="22"/>
        </w:rPr>
        <w:t xml:space="preserve">We excluded one </w:t>
      </w:r>
      <w:proofErr w:type="spellStart"/>
      <w:r w:rsidRPr="00E67CEB">
        <w:rPr>
          <w:rFonts w:asciiTheme="minorHAnsi" w:hAnsiTheme="minorHAnsi"/>
          <w:sz w:val="22"/>
          <w:szCs w:val="22"/>
        </w:rPr>
        <w:t>qRT</w:t>
      </w:r>
      <w:proofErr w:type="spellEnd"/>
      <w:r w:rsidRPr="00E67CEB">
        <w:rPr>
          <w:rFonts w:asciiTheme="minorHAnsi" w:hAnsiTheme="minorHAnsi"/>
          <w:sz w:val="22"/>
          <w:szCs w:val="22"/>
        </w:rPr>
        <w:t>-PCR</w:t>
      </w:r>
      <w:r w:rsidR="005E3675" w:rsidRPr="00E67CEB">
        <w:rPr>
          <w:rFonts w:asciiTheme="minorHAnsi" w:hAnsiTheme="minorHAnsi"/>
          <w:sz w:val="22"/>
          <w:szCs w:val="22"/>
        </w:rPr>
        <w:t xml:space="preserve"> </w:t>
      </w:r>
      <w:r w:rsidRPr="00E67CEB">
        <w:rPr>
          <w:rFonts w:asciiTheme="minorHAnsi" w:hAnsiTheme="minorHAnsi"/>
          <w:sz w:val="22"/>
          <w:szCs w:val="22"/>
        </w:rPr>
        <w:t>sample (</w:t>
      </w:r>
      <w:r w:rsidRPr="00E67CEB">
        <w:rPr>
          <w:rFonts w:asciiTheme="minorHAnsi" w:hAnsiTheme="minorHAnsi"/>
          <w:i/>
          <w:sz w:val="22"/>
          <w:szCs w:val="22"/>
        </w:rPr>
        <w:t>ros1dcl23</w:t>
      </w:r>
      <w:r w:rsidRPr="00E67CEB">
        <w:rPr>
          <w:rFonts w:asciiTheme="minorHAnsi" w:hAnsiTheme="minorHAnsi"/>
          <w:sz w:val="22"/>
          <w:szCs w:val="22"/>
        </w:rPr>
        <w:t xml:space="preserve"> mock replicate 3) </w:t>
      </w:r>
      <w:r w:rsidR="002F5EFB" w:rsidRPr="00E67CEB">
        <w:rPr>
          <w:rFonts w:asciiTheme="minorHAnsi" w:hAnsiTheme="minorHAnsi"/>
          <w:sz w:val="22"/>
          <w:szCs w:val="22"/>
        </w:rPr>
        <w:t xml:space="preserve">from one experiment </w:t>
      </w:r>
      <w:r w:rsidR="002D0571">
        <w:rPr>
          <w:rFonts w:asciiTheme="minorHAnsi" w:hAnsiTheme="minorHAnsi"/>
          <w:sz w:val="22"/>
          <w:szCs w:val="22"/>
        </w:rPr>
        <w:t>shown in</w:t>
      </w:r>
      <w:r w:rsidR="002D0571" w:rsidRPr="00E67CEB">
        <w:rPr>
          <w:rFonts w:asciiTheme="minorHAnsi" w:hAnsiTheme="minorHAnsi"/>
          <w:sz w:val="22"/>
          <w:szCs w:val="22"/>
        </w:rPr>
        <w:t xml:space="preserve"> </w:t>
      </w:r>
      <w:r w:rsidRPr="00E67CEB">
        <w:rPr>
          <w:rFonts w:asciiTheme="minorHAnsi" w:hAnsiTheme="minorHAnsi"/>
          <w:sz w:val="22"/>
          <w:szCs w:val="22"/>
        </w:rPr>
        <w:t>figure 3G (</w:t>
      </w:r>
      <w:r w:rsidRPr="00E67CEB">
        <w:rPr>
          <w:rFonts w:asciiTheme="minorHAnsi" w:hAnsiTheme="minorHAnsi"/>
          <w:i/>
          <w:sz w:val="22"/>
          <w:szCs w:val="22"/>
        </w:rPr>
        <w:t>AT1G08940</w:t>
      </w:r>
      <w:r w:rsidRPr="00E67CEB">
        <w:rPr>
          <w:rFonts w:asciiTheme="minorHAnsi" w:hAnsiTheme="minorHAnsi"/>
          <w:sz w:val="22"/>
          <w:szCs w:val="22"/>
        </w:rPr>
        <w:t xml:space="preserve"> and </w:t>
      </w:r>
      <w:r w:rsidRPr="00E67CEB">
        <w:rPr>
          <w:rFonts w:asciiTheme="minorHAnsi" w:hAnsiTheme="minorHAnsi"/>
          <w:i/>
          <w:sz w:val="22"/>
          <w:szCs w:val="22"/>
        </w:rPr>
        <w:t>RLP43</w:t>
      </w:r>
      <w:r w:rsidRPr="00E67CEB">
        <w:rPr>
          <w:rFonts w:asciiTheme="minorHAnsi" w:hAnsiTheme="minorHAnsi"/>
          <w:sz w:val="22"/>
          <w:szCs w:val="22"/>
        </w:rPr>
        <w:t>) and figure 2-figure supplement 3 (</w:t>
      </w:r>
      <w:r w:rsidR="00D16A55" w:rsidRPr="00E67CEB">
        <w:rPr>
          <w:rFonts w:asciiTheme="minorHAnsi" w:hAnsiTheme="minorHAnsi"/>
          <w:i/>
          <w:sz w:val="22"/>
          <w:szCs w:val="22"/>
        </w:rPr>
        <w:t>RMG1</w:t>
      </w:r>
      <w:r w:rsidR="00D16A55" w:rsidRPr="00E67CEB">
        <w:rPr>
          <w:rFonts w:asciiTheme="minorHAnsi" w:hAnsiTheme="minorHAnsi"/>
          <w:sz w:val="22"/>
          <w:szCs w:val="22"/>
        </w:rPr>
        <w:t xml:space="preserve">) due to a </w:t>
      </w:r>
      <w:r w:rsidR="009650A2" w:rsidRPr="00E67CEB">
        <w:rPr>
          <w:rFonts w:asciiTheme="minorHAnsi" w:hAnsiTheme="minorHAnsi"/>
          <w:sz w:val="22"/>
          <w:szCs w:val="22"/>
        </w:rPr>
        <w:t xml:space="preserve">technical </w:t>
      </w:r>
      <w:r w:rsidR="00D16A55" w:rsidRPr="00E67CEB">
        <w:rPr>
          <w:rFonts w:asciiTheme="minorHAnsi" w:hAnsiTheme="minorHAnsi"/>
          <w:sz w:val="22"/>
          <w:szCs w:val="22"/>
        </w:rPr>
        <w:t xml:space="preserve">problem during </w:t>
      </w:r>
      <w:r w:rsidR="009650A2" w:rsidRPr="00E67CEB">
        <w:rPr>
          <w:rFonts w:asciiTheme="minorHAnsi" w:hAnsiTheme="minorHAnsi"/>
          <w:sz w:val="22"/>
          <w:szCs w:val="22"/>
        </w:rPr>
        <w:t xml:space="preserve">the </w:t>
      </w:r>
      <w:r w:rsidR="00D16A55" w:rsidRPr="00E67CEB">
        <w:rPr>
          <w:rFonts w:asciiTheme="minorHAnsi" w:hAnsiTheme="minorHAnsi"/>
          <w:sz w:val="22"/>
          <w:szCs w:val="22"/>
        </w:rPr>
        <w:t>RNA extraction</w:t>
      </w:r>
      <w:r w:rsidR="002F5EFB" w:rsidRPr="00E67CEB">
        <w:rPr>
          <w:rFonts w:asciiTheme="minorHAnsi" w:hAnsiTheme="minorHAnsi"/>
          <w:sz w:val="22"/>
          <w:szCs w:val="22"/>
        </w:rPr>
        <w:t xml:space="preserve"> or to RNA degradation</w:t>
      </w:r>
      <w:r w:rsidR="00D16A55" w:rsidRPr="00E67CEB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F9FDA7C" w14:textId="20B6606D" w:rsidR="008D35B8" w:rsidRPr="008D35B8" w:rsidRDefault="008D35B8" w:rsidP="008D35B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D35B8">
        <w:rPr>
          <w:rFonts w:asciiTheme="minorHAnsi" w:hAnsiTheme="minorHAnsi"/>
          <w:sz w:val="22"/>
          <w:szCs w:val="22"/>
        </w:rPr>
        <w:t xml:space="preserve">For each experiment and analysis, information about statistical tests are detailed in each relevant figure legend.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E5660BE" w14:textId="5F77E562" w:rsidR="008D35B8" w:rsidRPr="00EC15EF" w:rsidRDefault="008D35B8" w:rsidP="008D35B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</w:t>
      </w:r>
      <w:r w:rsidRPr="00EC15EF">
        <w:rPr>
          <w:rFonts w:asciiTheme="minorHAnsi" w:hAnsiTheme="minorHAnsi"/>
          <w:color w:val="000000" w:themeColor="text1"/>
          <w:sz w:val="22"/>
          <w:szCs w:val="22"/>
        </w:rPr>
        <w:t xml:space="preserve">amples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were not allocated </w:t>
      </w:r>
      <w:r w:rsidRPr="00EC15EF">
        <w:rPr>
          <w:rFonts w:asciiTheme="minorHAnsi" w:hAnsiTheme="minorHAnsi"/>
          <w:color w:val="000000" w:themeColor="text1"/>
          <w:sz w:val="22"/>
          <w:szCs w:val="22"/>
        </w:rPr>
        <w:t xml:space="preserve">into experimental groups, so this information does not apply to our </w:t>
      </w:r>
      <w:r w:rsidR="009650A2">
        <w:rPr>
          <w:rFonts w:asciiTheme="minorHAnsi" w:hAnsiTheme="minorHAnsi"/>
          <w:color w:val="000000" w:themeColor="text1"/>
          <w:sz w:val="22"/>
          <w:szCs w:val="22"/>
        </w:rPr>
        <w:t>study</w:t>
      </w:r>
      <w:r w:rsidRPr="00EC15EF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816C95" w:rsidR="00BC3CCE" w:rsidRPr="00317338" w:rsidRDefault="005652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17338">
        <w:rPr>
          <w:rFonts w:asciiTheme="minorHAnsi" w:hAnsiTheme="minorHAnsi"/>
          <w:sz w:val="22"/>
          <w:szCs w:val="22"/>
        </w:rPr>
        <w:lastRenderedPageBreak/>
        <w:t xml:space="preserve">We uploaded </w:t>
      </w:r>
      <w:r w:rsidR="00317338" w:rsidRPr="00317338">
        <w:rPr>
          <w:rFonts w:asciiTheme="minorHAnsi" w:hAnsiTheme="minorHAnsi"/>
          <w:sz w:val="22"/>
          <w:szCs w:val="22"/>
        </w:rPr>
        <w:t xml:space="preserve">10 additional source data files as described </w:t>
      </w:r>
      <w:r w:rsidR="00E67CEB">
        <w:rPr>
          <w:rFonts w:asciiTheme="minorHAnsi" w:hAnsiTheme="minorHAnsi"/>
          <w:sz w:val="22"/>
          <w:szCs w:val="22"/>
        </w:rPr>
        <w:t>below:</w:t>
      </w:r>
    </w:p>
    <w:p w14:paraId="34879E1D" w14:textId="77777777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E87E326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>Figure 1-source data 1. Original data of bacterial propagation assays for figure 1A, C, D and F</w:t>
      </w:r>
    </w:p>
    <w:p w14:paraId="0E21D23E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6E83C0E" w14:textId="332D4378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2-source data 1.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>-PCR data for figure 2A and F, and bacterial propagation data for figure 2B-C</w:t>
      </w:r>
    </w:p>
    <w:p w14:paraId="6A82290F" w14:textId="77777777" w:rsidR="009650A2" w:rsidRPr="00317338" w:rsidRDefault="009650A2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654CDD6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2-source data 2.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 xml:space="preserve">-PCR data for figure 2-figure supplement 3 </w:t>
      </w:r>
    </w:p>
    <w:p w14:paraId="3E69622F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1344A5C" w14:textId="1E6E15D1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3-source data 1.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>-PCR data for figure 3G</w:t>
      </w:r>
    </w:p>
    <w:p w14:paraId="0047C5F3" w14:textId="77777777" w:rsidR="009650A2" w:rsidRPr="00317338" w:rsidRDefault="009650A2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CDF5367" w14:textId="2246362C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>Figure 3-source data 2. Original transcriptomic data used for the heatmap presented in figure 3B</w:t>
      </w:r>
    </w:p>
    <w:p w14:paraId="766A2BC0" w14:textId="77777777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3F43623" w14:textId="7E411817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4-source data 1.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>-PCR data of GUS transcript quantification for figure 4E</w:t>
      </w:r>
    </w:p>
    <w:p w14:paraId="621D5CC9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90DB166" w14:textId="5C81B8A4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>Figure 5-source data 1. Original DAP-qPCR data for figure 5B</w:t>
      </w:r>
    </w:p>
    <w:p w14:paraId="779562B6" w14:textId="77777777" w:rsidR="009650A2" w:rsidRPr="00317338" w:rsidRDefault="009650A2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7145F0C" w14:textId="5FE2BAA5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>Figure 5-source data 2. Original DAP-qPCR data for figure 5-figure supplement 1</w:t>
      </w:r>
    </w:p>
    <w:p w14:paraId="1B7D6490" w14:textId="77777777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3F614AD" w14:textId="38F8E75D" w:rsid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6-source data 1.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McrBC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 xml:space="preserve">-qPCR,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>-PCR and bacterial propagation data for figure 6B-E</w:t>
      </w:r>
    </w:p>
    <w:p w14:paraId="3FD0AF61" w14:textId="77777777" w:rsidR="009650A2" w:rsidRPr="00317338" w:rsidRDefault="009650A2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2841076" w14:textId="77777777" w:rsidR="00317338" w:rsidRPr="00317338" w:rsidRDefault="00317338" w:rsidP="0031733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317338">
        <w:rPr>
          <w:rFonts w:asciiTheme="minorHAnsi" w:hAnsiTheme="minorHAnsi"/>
          <w:sz w:val="22"/>
          <w:szCs w:val="22"/>
          <w:lang w:val="en-GB"/>
        </w:rPr>
        <w:t xml:space="preserve">Figure 6-source data 2. Original </w:t>
      </w:r>
      <w:proofErr w:type="spellStart"/>
      <w:r w:rsidRPr="00317338">
        <w:rPr>
          <w:rFonts w:asciiTheme="minorHAnsi" w:hAnsiTheme="minorHAnsi"/>
          <w:sz w:val="22"/>
          <w:szCs w:val="22"/>
          <w:lang w:val="en-GB"/>
        </w:rPr>
        <w:t>qRT</w:t>
      </w:r>
      <w:proofErr w:type="spellEnd"/>
      <w:r w:rsidRPr="00317338">
        <w:rPr>
          <w:rFonts w:asciiTheme="minorHAnsi" w:hAnsiTheme="minorHAnsi"/>
          <w:sz w:val="22"/>
          <w:szCs w:val="22"/>
          <w:lang w:val="en-GB"/>
        </w:rPr>
        <w:t>-PCR data for figure 6-figure supplement 1</w:t>
      </w:r>
    </w:p>
    <w:p w14:paraId="304AE389" w14:textId="77777777" w:rsidR="00317338" w:rsidRPr="00317338" w:rsidRDefault="0031733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317338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317338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0818C1" w16cid:durableId="23975B6D"/>
  <w16cid:commentId w16cid:paraId="5719F758" w16cid:durableId="23978139"/>
  <w16cid:commentId w16cid:paraId="7106595F" w16cid:durableId="23975BA4"/>
  <w16cid:commentId w16cid:paraId="790AD41A" w16cid:durableId="2397813B"/>
  <w16cid:commentId w16cid:paraId="2275F480" w16cid:durableId="23975BC5"/>
  <w16cid:commentId w16cid:paraId="78B9A325" w16cid:durableId="23975C1D"/>
  <w16cid:commentId w16cid:paraId="354F0FC6" w16cid:durableId="23975CB4"/>
  <w16cid:commentId w16cid:paraId="42F351EA" w16cid:durableId="2397813F"/>
  <w16cid:commentId w16cid:paraId="0CF9B583" w16cid:durableId="23975C6E"/>
  <w16cid:commentId w16cid:paraId="7B5C00FB" w16cid:durableId="23975DF4"/>
  <w16cid:commentId w16cid:paraId="22756F5B" w16cid:durableId="23978142"/>
  <w16cid:commentId w16cid:paraId="43E4F8DA" w16cid:durableId="23975E5B"/>
  <w16cid:commentId w16cid:paraId="4244CFD8" w16cid:durableId="23975EFB"/>
  <w16cid:commentId w16cid:paraId="74842EBF" w16cid:durableId="2397814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C3879" w14:textId="77777777" w:rsidR="00D15D4C" w:rsidRDefault="00D15D4C" w:rsidP="004215FE">
      <w:r>
        <w:separator/>
      </w:r>
    </w:p>
  </w:endnote>
  <w:endnote w:type="continuationSeparator" w:id="0">
    <w:p w14:paraId="4C4BD045" w14:textId="77777777" w:rsidR="00D15D4C" w:rsidRDefault="00D15D4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E67CEB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2EBBE" w14:textId="77777777" w:rsidR="00D15D4C" w:rsidRDefault="00D15D4C" w:rsidP="004215FE">
      <w:r>
        <w:separator/>
      </w:r>
    </w:p>
  </w:footnote>
  <w:footnote w:type="continuationSeparator" w:id="0">
    <w:p w14:paraId="056A1597" w14:textId="77777777" w:rsidR="00D15D4C" w:rsidRDefault="00D15D4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252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0571"/>
    <w:rsid w:val="002F5EFB"/>
    <w:rsid w:val="00307F5D"/>
    <w:rsid w:val="00317338"/>
    <w:rsid w:val="003248ED"/>
    <w:rsid w:val="00370080"/>
    <w:rsid w:val="003F19A6"/>
    <w:rsid w:val="00402ADD"/>
    <w:rsid w:val="00406FF4"/>
    <w:rsid w:val="00407B4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6DCF"/>
    <w:rsid w:val="0053000A"/>
    <w:rsid w:val="00532B11"/>
    <w:rsid w:val="00550F13"/>
    <w:rsid w:val="005530AE"/>
    <w:rsid w:val="00555F44"/>
    <w:rsid w:val="00565276"/>
    <w:rsid w:val="00566103"/>
    <w:rsid w:val="00582521"/>
    <w:rsid w:val="005953D0"/>
    <w:rsid w:val="005B0A15"/>
    <w:rsid w:val="005B3A60"/>
    <w:rsid w:val="005E3675"/>
    <w:rsid w:val="00605A12"/>
    <w:rsid w:val="00634AC7"/>
    <w:rsid w:val="006573E9"/>
    <w:rsid w:val="00657587"/>
    <w:rsid w:val="00661DCC"/>
    <w:rsid w:val="00665033"/>
    <w:rsid w:val="00672545"/>
    <w:rsid w:val="00685CCF"/>
    <w:rsid w:val="006A632B"/>
    <w:rsid w:val="006C06F5"/>
    <w:rsid w:val="006C70F3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1B64"/>
    <w:rsid w:val="007E54D8"/>
    <w:rsid w:val="007E5880"/>
    <w:rsid w:val="00800860"/>
    <w:rsid w:val="008071DA"/>
    <w:rsid w:val="0082410E"/>
    <w:rsid w:val="008531D3"/>
    <w:rsid w:val="00860995"/>
    <w:rsid w:val="00862942"/>
    <w:rsid w:val="00865914"/>
    <w:rsid w:val="008669DA"/>
    <w:rsid w:val="0087056D"/>
    <w:rsid w:val="00876F8F"/>
    <w:rsid w:val="0087749F"/>
    <w:rsid w:val="00877644"/>
    <w:rsid w:val="00877729"/>
    <w:rsid w:val="008A22A7"/>
    <w:rsid w:val="008C73C0"/>
    <w:rsid w:val="008D252E"/>
    <w:rsid w:val="008D35B8"/>
    <w:rsid w:val="008D7885"/>
    <w:rsid w:val="00912B0B"/>
    <w:rsid w:val="009205E9"/>
    <w:rsid w:val="0092438C"/>
    <w:rsid w:val="00941D04"/>
    <w:rsid w:val="00963CEF"/>
    <w:rsid w:val="009650A2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08F2"/>
    <w:rsid w:val="00A5368C"/>
    <w:rsid w:val="00A62B52"/>
    <w:rsid w:val="00A84B3E"/>
    <w:rsid w:val="00AB5612"/>
    <w:rsid w:val="00AB7253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D0E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065B"/>
    <w:rsid w:val="00D10224"/>
    <w:rsid w:val="00D15D4C"/>
    <w:rsid w:val="00D16A55"/>
    <w:rsid w:val="00D44612"/>
    <w:rsid w:val="00D50299"/>
    <w:rsid w:val="00D74320"/>
    <w:rsid w:val="00D779BF"/>
    <w:rsid w:val="00D81D61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7CEB"/>
    <w:rsid w:val="00E70517"/>
    <w:rsid w:val="00E855E5"/>
    <w:rsid w:val="00E870D1"/>
    <w:rsid w:val="00ED346E"/>
    <w:rsid w:val="00EF7423"/>
    <w:rsid w:val="00F27DEC"/>
    <w:rsid w:val="00F3344F"/>
    <w:rsid w:val="00F60CF4"/>
    <w:rsid w:val="00F84CBC"/>
    <w:rsid w:val="00F948FD"/>
    <w:rsid w:val="00FA4EC7"/>
    <w:rsid w:val="00FC1F40"/>
    <w:rsid w:val="00FD0F2C"/>
    <w:rsid w:val="00FD597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vision">
    <w:name w:val="Revision"/>
    <w:hidden/>
    <w:uiPriority w:val="99"/>
    <w:semiHidden/>
    <w:rsid w:val="006650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63F81-8628-9444-9AE0-FC738CA0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1127</Words>
  <Characters>6200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7313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Thierry Halter</cp:lastModifiedBy>
  <cp:revision>2</cp:revision>
  <dcterms:created xsi:type="dcterms:W3CDTF">2020-12-30T22:19:00Z</dcterms:created>
  <dcterms:modified xsi:type="dcterms:W3CDTF">2020-12-30T22:19:00Z</dcterms:modified>
</cp:coreProperties>
</file>