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01498" w14:textId="77777777" w:rsidR="00E7471B" w:rsidRDefault="00E7471B" w:rsidP="00E7471B">
      <w:pPr>
        <w:contextualSpacing/>
        <w:rPr>
          <w:b/>
          <w:bCs/>
          <w:sz w:val="20"/>
          <w:szCs w:val="20"/>
        </w:rPr>
      </w:pPr>
    </w:p>
    <w:p w14:paraId="7CE24A65" w14:textId="77777777" w:rsidR="00E7471B" w:rsidRDefault="00E7471B" w:rsidP="00E7471B">
      <w:pPr>
        <w:contextualSpacing/>
        <w:rPr>
          <w:b/>
          <w:bCs/>
          <w:sz w:val="20"/>
          <w:szCs w:val="20"/>
        </w:rPr>
      </w:pPr>
    </w:p>
    <w:p w14:paraId="4558F45E" w14:textId="11777093" w:rsidR="00E7471B" w:rsidRPr="00F703F9" w:rsidRDefault="00E7471B" w:rsidP="00E7471B">
      <w:pPr>
        <w:contextualSpacing/>
        <w:rPr>
          <w:sz w:val="20"/>
          <w:szCs w:val="20"/>
        </w:rPr>
      </w:pPr>
      <w:r w:rsidRPr="00E7471B">
        <w:rPr>
          <w:b/>
          <w:bCs/>
          <w:sz w:val="20"/>
          <w:szCs w:val="20"/>
        </w:rPr>
        <w:t>Figure</w:t>
      </w:r>
      <w:r w:rsidR="005C2FAF">
        <w:rPr>
          <w:b/>
          <w:bCs/>
          <w:sz w:val="20"/>
          <w:szCs w:val="20"/>
        </w:rPr>
        <w:t xml:space="preserve"> </w:t>
      </w:r>
      <w:r w:rsidRPr="00E7471B">
        <w:rPr>
          <w:b/>
          <w:bCs/>
          <w:sz w:val="20"/>
          <w:szCs w:val="20"/>
        </w:rPr>
        <w:t>4—figure supplement 3.</w:t>
      </w:r>
      <w:r>
        <w:rPr>
          <w:sz w:val="20"/>
          <w:szCs w:val="20"/>
        </w:rPr>
        <w:t xml:space="preserve"> </w:t>
      </w:r>
      <w:r w:rsidRPr="00F703F9">
        <w:rPr>
          <w:sz w:val="20"/>
          <w:szCs w:val="20"/>
        </w:rPr>
        <w:t>Analysis of recombination in LTR-tag presence/absence data</w:t>
      </w:r>
      <w:r>
        <w:rPr>
          <w:sz w:val="20"/>
          <w:szCs w:val="20"/>
        </w:rPr>
        <w:t>.</w:t>
      </w:r>
    </w:p>
    <w:p w14:paraId="00A3A42D" w14:textId="77777777" w:rsidR="00E7471B" w:rsidRPr="00ED4815" w:rsidRDefault="00E7471B" w:rsidP="00E7471B">
      <w:pPr>
        <w:rPr>
          <w:sz w:val="20"/>
          <w:szCs w:val="20"/>
        </w:rPr>
      </w:pPr>
    </w:p>
    <w:tbl>
      <w:tblPr>
        <w:tblStyle w:val="PlainTable1"/>
        <w:tblpPr w:leftFromText="180" w:rightFromText="180" w:vertAnchor="text" w:horzAnchor="margin" w:tblpY="-67"/>
        <w:tblW w:w="5000" w:type="pct"/>
        <w:tblLook w:val="04A0" w:firstRow="1" w:lastRow="0" w:firstColumn="1" w:lastColumn="0" w:noHBand="0" w:noVBand="1"/>
      </w:tblPr>
      <w:tblGrid>
        <w:gridCol w:w="1004"/>
        <w:gridCol w:w="359"/>
        <w:gridCol w:w="1034"/>
        <w:gridCol w:w="604"/>
        <w:gridCol w:w="706"/>
        <w:gridCol w:w="1867"/>
        <w:gridCol w:w="1115"/>
        <w:gridCol w:w="1103"/>
        <w:gridCol w:w="1218"/>
      </w:tblGrid>
      <w:tr w:rsidR="00E7471B" w:rsidRPr="009B1C6D" w14:paraId="21B26822" w14:textId="77777777" w:rsidTr="003D2B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pct"/>
            <w:noWrap/>
            <w:hideMark/>
          </w:tcPr>
          <w:p w14:paraId="20DE06A6" w14:textId="77777777" w:rsidR="00E7471B" w:rsidRPr="009B1C6D" w:rsidRDefault="00E7471B" w:rsidP="003D2B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w:r w:rsidRPr="009B1C6D">
              <w:rPr>
                <w:rFonts w:ascii="Arial" w:hAnsi="Arial" w:cs="Arial"/>
                <w:color w:val="000000"/>
                <w:sz w:val="16"/>
                <w:szCs w:val="16"/>
              </w:rPr>
              <w:t>Species</w:t>
            </w:r>
            <w:r w:rsidRPr="009B1C6D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9" w:type="pct"/>
            <w:noWrap/>
            <w:hideMark/>
          </w:tcPr>
          <w:p w14:paraId="00B1DFE8" w14:textId="77777777" w:rsidR="00E7471B" w:rsidRPr="009B1C6D" w:rsidRDefault="00E7471B" w:rsidP="003D2B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9B1C6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n</w:t>
            </w:r>
          </w:p>
        </w:tc>
        <w:tc>
          <w:tcPr>
            <w:tcW w:w="574" w:type="pct"/>
            <w:noWrap/>
            <w:hideMark/>
          </w:tcPr>
          <w:p w14:paraId="42E77ED7" w14:textId="77777777" w:rsidR="00E7471B" w:rsidRPr="009B1C6D" w:rsidRDefault="00E7471B" w:rsidP="003D2B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C6D">
              <w:rPr>
                <w:rFonts w:ascii="Arial" w:hAnsi="Arial" w:cs="Arial"/>
                <w:color w:val="000000"/>
                <w:sz w:val="16"/>
                <w:szCs w:val="16"/>
              </w:rPr>
              <w:t>LTR loci</w:t>
            </w:r>
            <w:r w:rsidRPr="009B1C6D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35" w:type="pct"/>
            <w:noWrap/>
            <w:hideMark/>
          </w:tcPr>
          <w:p w14:paraId="45F9DF1A" w14:textId="77777777" w:rsidR="00E7471B" w:rsidRPr="009B1C6D" w:rsidRDefault="00E7471B" w:rsidP="003D2B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16"/>
                      <w:szCs w:val="16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16"/>
                          <w:szCs w:val="16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Arial"/>
                          <w:color w:val="000000"/>
                          <w:sz w:val="16"/>
                          <w:szCs w:val="16"/>
                        </w:rPr>
                        <m:t>r</m:t>
                      </m:r>
                    </m:e>
                  </m:acc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  <w:color w:val="000000"/>
                      <w:sz w:val="16"/>
                      <w:szCs w:val="16"/>
                    </w:rPr>
                    <m:t>d</m:t>
                  </m:r>
                </m:sub>
              </m:sSub>
            </m:oMath>
            <w:r w:rsidRPr="009B1C6D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392" w:type="pct"/>
            <w:noWrap/>
            <w:hideMark/>
          </w:tcPr>
          <w:p w14:paraId="1DF0BFBD" w14:textId="77777777" w:rsidR="00E7471B" w:rsidRPr="009B1C6D" w:rsidRDefault="00E7471B" w:rsidP="003D2B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9B1C6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</w:t>
            </w:r>
          </w:p>
        </w:tc>
        <w:tc>
          <w:tcPr>
            <w:tcW w:w="1036" w:type="pct"/>
            <w:noWrap/>
            <w:hideMark/>
          </w:tcPr>
          <w:p w14:paraId="37F88097" w14:textId="77777777" w:rsidR="00E7471B" w:rsidRPr="009B1C6D" w:rsidRDefault="00E7471B" w:rsidP="003D2B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C6D">
              <w:rPr>
                <w:rFonts w:ascii="Arial" w:hAnsi="Arial" w:cs="Arial"/>
                <w:color w:val="000000"/>
                <w:sz w:val="16"/>
                <w:szCs w:val="16"/>
              </w:rPr>
              <w:t>Consistency index</w:t>
            </w:r>
          </w:p>
        </w:tc>
        <w:tc>
          <w:tcPr>
            <w:tcW w:w="1907" w:type="pct"/>
            <w:gridSpan w:val="3"/>
            <w:noWrap/>
            <w:hideMark/>
          </w:tcPr>
          <w:p w14:paraId="5369ECE8" w14:textId="77777777" w:rsidR="00E7471B" w:rsidRPr="009B1C6D" w:rsidRDefault="00E7471B" w:rsidP="003D2B82">
            <w:pPr>
              <w:ind w:left="720" w:hanging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C6D">
              <w:rPr>
                <w:rFonts w:ascii="Arial" w:hAnsi="Arial" w:cs="Arial"/>
                <w:color w:val="000000"/>
                <w:sz w:val="16"/>
                <w:szCs w:val="16"/>
              </w:rPr>
              <w:t>Frequency of sex</w:t>
            </w:r>
            <w:r w:rsidRPr="009B1C6D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4</w:t>
            </w:r>
          </w:p>
        </w:tc>
      </w:tr>
      <w:tr w:rsidR="00E7471B" w:rsidRPr="009B1C6D" w14:paraId="5FAD0FE1" w14:textId="77777777" w:rsidTr="003D2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pct"/>
            <w:noWrap/>
            <w:hideMark/>
          </w:tcPr>
          <w:p w14:paraId="5451B0C0" w14:textId="77777777" w:rsidR="00E7471B" w:rsidRPr="009B1C6D" w:rsidRDefault="00E7471B" w:rsidP="003D2B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9" w:type="pct"/>
            <w:noWrap/>
            <w:hideMark/>
          </w:tcPr>
          <w:p w14:paraId="5CF68BC4" w14:textId="77777777" w:rsidR="00E7471B" w:rsidRPr="009B1C6D" w:rsidRDefault="00E7471B" w:rsidP="003D2B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4" w:type="pct"/>
            <w:noWrap/>
            <w:hideMark/>
          </w:tcPr>
          <w:p w14:paraId="795CCC1F" w14:textId="77777777" w:rsidR="00E7471B" w:rsidRPr="009B1C6D" w:rsidRDefault="00E7471B" w:rsidP="003D2B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" w:type="pct"/>
            <w:noWrap/>
            <w:hideMark/>
          </w:tcPr>
          <w:p w14:paraId="780FAD01" w14:textId="77777777" w:rsidR="00E7471B" w:rsidRPr="009B1C6D" w:rsidRDefault="00E7471B" w:rsidP="003D2B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" w:type="pct"/>
            <w:noWrap/>
            <w:hideMark/>
          </w:tcPr>
          <w:p w14:paraId="0C6D075D" w14:textId="77777777" w:rsidR="00E7471B" w:rsidRPr="009B1C6D" w:rsidRDefault="00E7471B" w:rsidP="003D2B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6" w:type="pct"/>
            <w:noWrap/>
            <w:hideMark/>
          </w:tcPr>
          <w:p w14:paraId="4DC021F9" w14:textId="77777777" w:rsidR="00E7471B" w:rsidRPr="009B1C6D" w:rsidRDefault="00E7471B" w:rsidP="003D2B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9" w:type="pct"/>
            <w:noWrap/>
            <w:hideMark/>
          </w:tcPr>
          <w:p w14:paraId="5EE42738" w14:textId="77777777" w:rsidR="00E7471B" w:rsidRPr="009B1C6D" w:rsidRDefault="00E7471B" w:rsidP="003D2B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C6D">
              <w:rPr>
                <w:rFonts w:ascii="Arial" w:hAnsi="Arial" w:cs="Arial"/>
                <w:color w:val="000000"/>
                <w:sz w:val="16"/>
                <w:szCs w:val="16"/>
              </w:rPr>
              <w:t>Median</w:t>
            </w:r>
          </w:p>
        </w:tc>
        <w:tc>
          <w:tcPr>
            <w:tcW w:w="612" w:type="pct"/>
            <w:noWrap/>
            <w:hideMark/>
          </w:tcPr>
          <w:p w14:paraId="71C18068" w14:textId="77777777" w:rsidR="00E7471B" w:rsidRPr="009B1C6D" w:rsidRDefault="00E7471B" w:rsidP="003D2B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C6D">
              <w:rPr>
                <w:rFonts w:ascii="Arial" w:hAnsi="Arial" w:cs="Arial"/>
                <w:color w:val="000000"/>
                <w:sz w:val="16"/>
                <w:szCs w:val="16"/>
              </w:rPr>
              <w:t>lower 95%</w:t>
            </w:r>
          </w:p>
        </w:tc>
        <w:tc>
          <w:tcPr>
            <w:tcW w:w="675" w:type="pct"/>
            <w:noWrap/>
            <w:hideMark/>
          </w:tcPr>
          <w:p w14:paraId="276819A8" w14:textId="77777777" w:rsidR="00E7471B" w:rsidRPr="009B1C6D" w:rsidRDefault="00E7471B" w:rsidP="003D2B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C6D">
              <w:rPr>
                <w:rFonts w:ascii="Arial" w:hAnsi="Arial" w:cs="Arial"/>
                <w:color w:val="000000"/>
                <w:sz w:val="16"/>
                <w:szCs w:val="16"/>
              </w:rPr>
              <w:t>upper 95%</w:t>
            </w:r>
          </w:p>
        </w:tc>
      </w:tr>
      <w:tr w:rsidR="00E7471B" w:rsidRPr="009B1C6D" w14:paraId="6168C551" w14:textId="77777777" w:rsidTr="003D2B8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pct"/>
            <w:noWrap/>
            <w:hideMark/>
          </w:tcPr>
          <w:p w14:paraId="0D472061" w14:textId="77777777" w:rsidR="00E7471B" w:rsidRPr="009B1C6D" w:rsidRDefault="00E7471B" w:rsidP="003D2B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C6D">
              <w:rPr>
                <w:rFonts w:ascii="Arial" w:hAnsi="Arial" w:cs="Arial"/>
                <w:color w:val="000000"/>
                <w:sz w:val="16"/>
                <w:szCs w:val="16"/>
              </w:rPr>
              <w:t>Rg</w:t>
            </w:r>
          </w:p>
        </w:tc>
        <w:tc>
          <w:tcPr>
            <w:tcW w:w="199" w:type="pct"/>
            <w:noWrap/>
            <w:hideMark/>
          </w:tcPr>
          <w:p w14:paraId="7CB1E374" w14:textId="77777777" w:rsidR="00E7471B" w:rsidRPr="009B1C6D" w:rsidRDefault="00E7471B" w:rsidP="003D2B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C6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74" w:type="pct"/>
            <w:noWrap/>
            <w:hideMark/>
          </w:tcPr>
          <w:p w14:paraId="4F6FDE83" w14:textId="77777777" w:rsidR="00E7471B" w:rsidRPr="009B1C6D" w:rsidRDefault="00E7471B" w:rsidP="003D2B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C6D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5" w:type="pct"/>
            <w:noWrap/>
            <w:hideMark/>
          </w:tcPr>
          <w:p w14:paraId="11B82DB8" w14:textId="77777777" w:rsidR="00E7471B" w:rsidRPr="009B1C6D" w:rsidRDefault="00E7471B" w:rsidP="003D2B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C6D">
              <w:rPr>
                <w:rFonts w:ascii="Arial" w:hAnsi="Arial" w:cs="Arial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392" w:type="pct"/>
            <w:noWrap/>
            <w:hideMark/>
          </w:tcPr>
          <w:p w14:paraId="61BEB56C" w14:textId="77777777" w:rsidR="00E7471B" w:rsidRPr="009B1C6D" w:rsidRDefault="00E7471B" w:rsidP="003D2B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C6D">
              <w:rPr>
                <w:rFonts w:ascii="Arial" w:hAnsi="Arial" w:cs="Arial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1036" w:type="pct"/>
            <w:noWrap/>
            <w:hideMark/>
          </w:tcPr>
          <w:p w14:paraId="6C42D84F" w14:textId="77777777" w:rsidR="00E7471B" w:rsidRPr="009B1C6D" w:rsidRDefault="00E7471B" w:rsidP="003D2B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C6D">
              <w:rPr>
                <w:rFonts w:ascii="Arial" w:hAnsi="Arial" w:cs="Arial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619" w:type="pct"/>
            <w:noWrap/>
            <w:hideMark/>
          </w:tcPr>
          <w:p w14:paraId="5B713400" w14:textId="77777777" w:rsidR="00E7471B" w:rsidRPr="009B1C6D" w:rsidRDefault="00E7471B" w:rsidP="003D2B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C6D">
              <w:rPr>
                <w:rFonts w:ascii="Arial" w:hAnsi="Arial" w:cs="Arial"/>
                <w:color w:val="000000"/>
                <w:sz w:val="16"/>
                <w:szCs w:val="16"/>
              </w:rPr>
              <w:t>8.57x10</w:t>
            </w:r>
            <w:r w:rsidRPr="009B1C6D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-06</w:t>
            </w:r>
          </w:p>
        </w:tc>
        <w:tc>
          <w:tcPr>
            <w:tcW w:w="612" w:type="pct"/>
            <w:noWrap/>
            <w:hideMark/>
          </w:tcPr>
          <w:p w14:paraId="20E4D405" w14:textId="77777777" w:rsidR="00E7471B" w:rsidRPr="009B1C6D" w:rsidRDefault="00E7471B" w:rsidP="003D2B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C6D">
              <w:rPr>
                <w:rFonts w:ascii="Arial" w:hAnsi="Arial" w:cs="Arial"/>
                <w:color w:val="000000"/>
                <w:sz w:val="16"/>
                <w:szCs w:val="16"/>
              </w:rPr>
              <w:t>3.68x10</w:t>
            </w:r>
            <w:r w:rsidRPr="009B1C6D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-07</w:t>
            </w:r>
          </w:p>
        </w:tc>
        <w:tc>
          <w:tcPr>
            <w:tcW w:w="675" w:type="pct"/>
            <w:noWrap/>
            <w:hideMark/>
          </w:tcPr>
          <w:p w14:paraId="05A68C80" w14:textId="77777777" w:rsidR="00E7471B" w:rsidRPr="009B1C6D" w:rsidRDefault="00E7471B" w:rsidP="003D2B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C6D">
              <w:rPr>
                <w:rFonts w:ascii="Arial" w:hAnsi="Arial" w:cs="Arial"/>
                <w:color w:val="000000"/>
                <w:sz w:val="16"/>
                <w:szCs w:val="16"/>
              </w:rPr>
              <w:t>0.0019169</w:t>
            </w:r>
          </w:p>
        </w:tc>
      </w:tr>
      <w:tr w:rsidR="00E7471B" w:rsidRPr="009B1C6D" w14:paraId="2FCB0650" w14:textId="77777777" w:rsidTr="003D2B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7" w:type="pct"/>
            <w:noWrap/>
            <w:hideMark/>
          </w:tcPr>
          <w:p w14:paraId="0B66A4D2" w14:textId="77777777" w:rsidR="00E7471B" w:rsidRPr="009B1C6D" w:rsidRDefault="00E7471B" w:rsidP="003D2B8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C6D">
              <w:rPr>
                <w:rFonts w:ascii="Arial" w:hAnsi="Arial" w:cs="Arial"/>
                <w:color w:val="000000"/>
                <w:sz w:val="16"/>
                <w:szCs w:val="16"/>
              </w:rPr>
              <w:t>Rs</w:t>
            </w:r>
          </w:p>
        </w:tc>
        <w:tc>
          <w:tcPr>
            <w:tcW w:w="199" w:type="pct"/>
            <w:noWrap/>
            <w:hideMark/>
          </w:tcPr>
          <w:p w14:paraId="7BCDD172" w14:textId="77777777" w:rsidR="00E7471B" w:rsidRPr="009B1C6D" w:rsidRDefault="00E7471B" w:rsidP="003D2B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C6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74" w:type="pct"/>
            <w:noWrap/>
            <w:hideMark/>
          </w:tcPr>
          <w:p w14:paraId="21E8F55B" w14:textId="77777777" w:rsidR="00E7471B" w:rsidRPr="009B1C6D" w:rsidRDefault="00E7471B" w:rsidP="003D2B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C6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5" w:type="pct"/>
            <w:noWrap/>
            <w:hideMark/>
          </w:tcPr>
          <w:p w14:paraId="0119701D" w14:textId="77777777" w:rsidR="00E7471B" w:rsidRPr="009B1C6D" w:rsidRDefault="00E7471B" w:rsidP="003D2B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C6D">
              <w:rPr>
                <w:rFonts w:ascii="Arial" w:hAnsi="Arial" w:cs="Arial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392" w:type="pct"/>
            <w:noWrap/>
            <w:hideMark/>
          </w:tcPr>
          <w:p w14:paraId="47EECA06" w14:textId="77777777" w:rsidR="00E7471B" w:rsidRPr="009B1C6D" w:rsidRDefault="00E7471B" w:rsidP="003D2B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C6D">
              <w:rPr>
                <w:rFonts w:ascii="Arial" w:hAnsi="Arial" w:cs="Arial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1036" w:type="pct"/>
            <w:noWrap/>
            <w:hideMark/>
          </w:tcPr>
          <w:p w14:paraId="2EC91895" w14:textId="77777777" w:rsidR="00E7471B" w:rsidRPr="009B1C6D" w:rsidRDefault="00E7471B" w:rsidP="003D2B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C6D">
              <w:rPr>
                <w:rFonts w:ascii="Arial" w:hAnsi="Arial" w:cs="Arial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619" w:type="pct"/>
            <w:noWrap/>
            <w:hideMark/>
          </w:tcPr>
          <w:p w14:paraId="73C0C73F" w14:textId="77777777" w:rsidR="00E7471B" w:rsidRPr="009B1C6D" w:rsidRDefault="00E7471B" w:rsidP="003D2B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C6D">
              <w:rPr>
                <w:rFonts w:ascii="Arial" w:hAnsi="Arial" w:cs="Arial"/>
                <w:color w:val="000000"/>
                <w:sz w:val="16"/>
                <w:szCs w:val="16"/>
              </w:rPr>
              <w:t>1.15 x10</w:t>
            </w:r>
            <w:r w:rsidRPr="009B1C6D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-05</w:t>
            </w:r>
          </w:p>
        </w:tc>
        <w:tc>
          <w:tcPr>
            <w:tcW w:w="612" w:type="pct"/>
            <w:noWrap/>
            <w:hideMark/>
          </w:tcPr>
          <w:p w14:paraId="45A8A1CA" w14:textId="77777777" w:rsidR="00E7471B" w:rsidRPr="009B1C6D" w:rsidRDefault="00E7471B" w:rsidP="003D2B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C6D">
              <w:rPr>
                <w:rFonts w:ascii="Arial" w:hAnsi="Arial" w:cs="Arial"/>
                <w:color w:val="000000"/>
                <w:sz w:val="16"/>
                <w:szCs w:val="16"/>
              </w:rPr>
              <w:t>3.86x10</w:t>
            </w:r>
            <w:r w:rsidRPr="009B1C6D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-07</w:t>
            </w:r>
          </w:p>
        </w:tc>
        <w:tc>
          <w:tcPr>
            <w:tcW w:w="675" w:type="pct"/>
            <w:noWrap/>
            <w:hideMark/>
          </w:tcPr>
          <w:p w14:paraId="71539D6B" w14:textId="77777777" w:rsidR="00E7471B" w:rsidRPr="009B1C6D" w:rsidRDefault="00E7471B" w:rsidP="003D2B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1C6D">
              <w:rPr>
                <w:rFonts w:ascii="Arial" w:hAnsi="Arial" w:cs="Arial"/>
                <w:color w:val="000000"/>
                <w:sz w:val="16"/>
                <w:szCs w:val="16"/>
              </w:rPr>
              <w:t>0.01517881</w:t>
            </w:r>
          </w:p>
        </w:tc>
      </w:tr>
    </w:tbl>
    <w:p w14:paraId="1ABDE908" w14:textId="77777777" w:rsidR="00E7471B" w:rsidRPr="0035240B" w:rsidRDefault="00E7471B" w:rsidP="00E7471B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Species codes: </w:t>
      </w:r>
      <w:r>
        <w:rPr>
          <w:b/>
          <w:bCs/>
          <w:sz w:val="20"/>
          <w:szCs w:val="20"/>
        </w:rPr>
        <w:t>Rg</w:t>
      </w:r>
      <w:r>
        <w:rPr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>Rotaria magnacalcarata</w:t>
      </w:r>
      <w:r>
        <w:rPr>
          <w:sz w:val="20"/>
          <w:szCs w:val="20"/>
        </w:rPr>
        <w:t xml:space="preserve">; </w:t>
      </w:r>
      <w:r>
        <w:rPr>
          <w:b/>
          <w:bCs/>
          <w:sz w:val="20"/>
          <w:szCs w:val="20"/>
        </w:rPr>
        <w:t>Rs</w:t>
      </w:r>
      <w:r>
        <w:rPr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>R. socialis</w:t>
      </w:r>
      <w:r>
        <w:rPr>
          <w:sz w:val="20"/>
          <w:szCs w:val="20"/>
        </w:rPr>
        <w:t>.</w:t>
      </w:r>
      <w:r>
        <w:rPr>
          <w:sz w:val="20"/>
          <w:szCs w:val="20"/>
          <w:vertAlign w:val="superscript"/>
        </w:rPr>
        <w:t xml:space="preserve"> </w:t>
      </w:r>
    </w:p>
    <w:p w14:paraId="02A193B4" w14:textId="77777777" w:rsidR="00E7471B" w:rsidRDefault="00E7471B" w:rsidP="00E7471B">
      <w:pPr>
        <w:rPr>
          <w:sz w:val="20"/>
          <w:szCs w:val="20"/>
        </w:rPr>
      </w:pPr>
      <w:r w:rsidRPr="0035240B"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N</w:t>
      </w:r>
      <w:r w:rsidRPr="00F703F9">
        <w:rPr>
          <w:sz w:val="20"/>
          <w:szCs w:val="20"/>
        </w:rPr>
        <w:t>umber of LTR-tag loci that were parsimony informative, i.e. no uniform or single variant individual within the sample</w:t>
      </w:r>
      <w:r>
        <w:rPr>
          <w:sz w:val="20"/>
          <w:szCs w:val="20"/>
        </w:rPr>
        <w:t>.</w:t>
      </w:r>
    </w:p>
    <w:p w14:paraId="0BAC11EC" w14:textId="77777777" w:rsidR="00E7471B" w:rsidRPr="0035240B" w:rsidRDefault="00E7471B" w:rsidP="00E7471B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0"/>
                <w:szCs w:val="20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color w:val="000000"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0"/>
                <w:szCs w:val="20"/>
              </w:rPr>
              <m:t>d</m:t>
            </m:r>
          </m:sub>
        </m:sSub>
      </m:oMath>
      <w:r w:rsidRPr="00F703F9">
        <w:rPr>
          <w:sz w:val="20"/>
          <w:szCs w:val="20"/>
        </w:rPr>
        <w:t xml:space="preserve"> is the modified index of association by Agapow and Burt (2001), </w:t>
      </w:r>
      <w:r w:rsidRPr="00F703F9">
        <w:rPr>
          <w:i/>
          <w:iCs/>
          <w:sz w:val="20"/>
          <w:szCs w:val="20"/>
        </w:rPr>
        <w:t>p</w:t>
      </w:r>
      <w:r w:rsidRPr="00F703F9">
        <w:rPr>
          <w:sz w:val="20"/>
          <w:szCs w:val="20"/>
        </w:rPr>
        <w:t xml:space="preserve"> is probability of obtaining a value this high in a permutated dataset, i.e. with full out-crossing and recombination, calculated with the </w:t>
      </w:r>
      <w:r>
        <w:rPr>
          <w:sz w:val="20"/>
          <w:szCs w:val="20"/>
        </w:rPr>
        <w:t>‘</w:t>
      </w:r>
      <w:r w:rsidRPr="00F703F9">
        <w:rPr>
          <w:sz w:val="20"/>
          <w:szCs w:val="20"/>
        </w:rPr>
        <w:t>ia</w:t>
      </w:r>
      <w:r>
        <w:rPr>
          <w:sz w:val="20"/>
          <w:szCs w:val="20"/>
        </w:rPr>
        <w:t>()’</w:t>
      </w:r>
      <w:r w:rsidRPr="00F703F9">
        <w:rPr>
          <w:sz w:val="20"/>
          <w:szCs w:val="20"/>
        </w:rPr>
        <w:t xml:space="preserve"> function in the R package poppr.</w:t>
      </w:r>
    </w:p>
    <w:p w14:paraId="633840AF" w14:textId="77777777" w:rsidR="00E7471B" w:rsidRDefault="00E7471B" w:rsidP="00E7471B">
      <w:pPr>
        <w:rPr>
          <w:rFonts w:eastAsiaTheme="minorEastAsia"/>
          <w:color w:val="000000"/>
          <w:sz w:val="20"/>
          <w:szCs w:val="20"/>
        </w:rPr>
      </w:pPr>
      <w:r>
        <w:rPr>
          <w:sz w:val="20"/>
          <w:szCs w:val="20"/>
          <w:vertAlign w:val="superscript"/>
        </w:rPr>
        <w:t>4</w:t>
      </w:r>
      <w:r w:rsidRPr="0035240B">
        <w:rPr>
          <w:sz w:val="20"/>
          <w:szCs w:val="20"/>
        </w:rPr>
        <w:t xml:space="preserve"> </w:t>
      </w:r>
      <w:r w:rsidRPr="00F703F9">
        <w:rPr>
          <w:sz w:val="20"/>
          <w:szCs w:val="20"/>
        </w:rPr>
        <w:t xml:space="preserve">Frequency of sex was calculated by Approximate Bayesian Computation against 50,000 simulated datasets generated by the </w:t>
      </w:r>
      <w:r>
        <w:rPr>
          <w:sz w:val="20"/>
          <w:szCs w:val="20"/>
        </w:rPr>
        <w:t>‘</w:t>
      </w:r>
      <w:r w:rsidRPr="00F703F9">
        <w:rPr>
          <w:sz w:val="20"/>
          <w:szCs w:val="20"/>
        </w:rPr>
        <w:t>FacSexCoalescent</w:t>
      </w:r>
      <w:r>
        <w:rPr>
          <w:sz w:val="20"/>
          <w:szCs w:val="20"/>
        </w:rPr>
        <w:t>’</w:t>
      </w:r>
      <w:r w:rsidRPr="00F703F9">
        <w:rPr>
          <w:sz w:val="20"/>
          <w:szCs w:val="20"/>
        </w:rPr>
        <w:t xml:space="preserve"> simulator of Hartfield et al. (2018). Simulation parameters: population size 10000, mutation rate 0.001, 900 sites, cross-over rate 2.224694e-06, yielding scaled cross-over rate of 40, frequency of sexual versus asexual reproduction log-uniform prior ranging from 10</w:t>
      </w:r>
      <w:r w:rsidRPr="00F703F9">
        <w:rPr>
          <w:sz w:val="20"/>
          <w:szCs w:val="20"/>
          <w:vertAlign w:val="superscript"/>
        </w:rPr>
        <w:t>-6.5</w:t>
      </w:r>
      <w:r w:rsidRPr="00F703F9">
        <w:rPr>
          <w:sz w:val="20"/>
          <w:szCs w:val="20"/>
        </w:rPr>
        <w:t xml:space="preserve"> to 0.999999. From the simulation output we extracted informative sites (i.e. removing uniform or sites with just a single variant individual) matching the number of informative sites in the observed data (selected to be spread out, i.e. unlinked, along the simulated chromosome). ABC computation used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0"/>
                <w:szCs w:val="20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color w:val="000000"/>
                    <w:sz w:val="20"/>
                    <w:szCs w:val="20"/>
                  </w:rPr>
                </m:ctrlPr>
              </m:accPr>
              <m:e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  <w:color w:val="000000"/>
                <w:sz w:val="20"/>
                <w:szCs w:val="20"/>
              </w:rPr>
              <m:t>d</m:t>
            </m:r>
          </m:sub>
        </m:sSub>
      </m:oMath>
      <w:r w:rsidRPr="00F703F9">
        <w:rPr>
          <w:rFonts w:eastAsiaTheme="minorEastAsia"/>
          <w:color w:val="000000"/>
          <w:sz w:val="20"/>
          <w:szCs w:val="20"/>
        </w:rPr>
        <w:t xml:space="preserve"> and Consistency Index as two statistics for inferences, and tolerance 0.05 with the ‘rejection’ method in the </w:t>
      </w:r>
      <w:r>
        <w:rPr>
          <w:rFonts w:eastAsiaTheme="minorEastAsia"/>
          <w:color w:val="000000"/>
          <w:sz w:val="20"/>
          <w:szCs w:val="20"/>
        </w:rPr>
        <w:t>‘</w:t>
      </w:r>
      <w:r w:rsidRPr="00F703F9">
        <w:rPr>
          <w:rFonts w:eastAsiaTheme="minorEastAsia"/>
          <w:color w:val="000000"/>
          <w:sz w:val="20"/>
          <w:szCs w:val="20"/>
        </w:rPr>
        <w:t>abc()</w:t>
      </w:r>
      <w:r>
        <w:rPr>
          <w:rFonts w:eastAsiaTheme="minorEastAsia"/>
          <w:color w:val="000000"/>
          <w:sz w:val="20"/>
          <w:szCs w:val="20"/>
        </w:rPr>
        <w:t>’</w:t>
      </w:r>
      <w:r w:rsidRPr="00F703F9">
        <w:rPr>
          <w:rFonts w:eastAsiaTheme="minorEastAsia"/>
          <w:color w:val="000000"/>
          <w:sz w:val="20"/>
          <w:szCs w:val="20"/>
        </w:rPr>
        <w:t xml:space="preserve"> function in the abc package in R. Posterior distribution is summarized by the median value of the frequency of sex and the upper and lower 95% highest posterior density limits.</w:t>
      </w:r>
    </w:p>
    <w:p w14:paraId="07375C5C" w14:textId="77777777" w:rsidR="00DB071F" w:rsidRDefault="005C2FAF"/>
    <w:sectPr w:rsidR="00DB071F" w:rsidSect="00F074E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doc-id" w:val="X173L431A721E544"/>
    <w:docVar w:name="paperpile-doc-name" w:val="Document2"/>
  </w:docVars>
  <w:rsids>
    <w:rsidRoot w:val="00E7471B"/>
    <w:rsid w:val="004153CD"/>
    <w:rsid w:val="005C2FAF"/>
    <w:rsid w:val="00CA72DE"/>
    <w:rsid w:val="00E7471B"/>
    <w:rsid w:val="00F0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A1CD96"/>
  <w15:chartTrackingRefBased/>
  <w15:docId w15:val="{E8A89658-4086-5542-BAC4-370A0E73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71B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E7471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Nowell, Reuben W</dc:creator>
  <cp:keywords/>
  <dc:description/>
  <cp:lastModifiedBy>Nowell, Reuben W</cp:lastModifiedBy>
  <cp:revision>2</cp:revision>
  <dcterms:created xsi:type="dcterms:W3CDTF">2020-09-28T11:14:00Z</dcterms:created>
  <dcterms:modified xsi:type="dcterms:W3CDTF">2020-09-28T11:23:00Z</dcterms:modified>
</cp:coreProperties>
</file>