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97A8" w14:textId="441B1627" w:rsidR="00E47DDB" w:rsidRPr="00F351F9" w:rsidRDefault="00E47DDB" w:rsidP="00E47DDB">
      <w:pPr>
        <w:rPr>
          <w:rFonts w:ascii="Arial" w:hAnsi="Arial" w:cs="Arial"/>
          <w:b/>
          <w:bCs/>
          <w:sz w:val="20"/>
          <w:szCs w:val="20"/>
          <w:lang w:val="en-ZA"/>
        </w:rPr>
      </w:pPr>
      <w:r w:rsidRPr="00F351F9">
        <w:rPr>
          <w:rFonts w:ascii="Arial" w:hAnsi="Arial" w:cs="Arial"/>
          <w:b/>
          <w:bCs/>
          <w:sz w:val="20"/>
          <w:szCs w:val="20"/>
          <w:lang w:val="en-ZA"/>
        </w:rPr>
        <w:t>Table S</w:t>
      </w:r>
      <w:r w:rsidR="00712D88">
        <w:rPr>
          <w:rFonts w:ascii="Arial" w:hAnsi="Arial" w:cs="Arial"/>
          <w:b/>
          <w:bCs/>
          <w:sz w:val="20"/>
          <w:szCs w:val="20"/>
          <w:lang w:val="en-ZA"/>
        </w:rPr>
        <w:t>2</w:t>
      </w:r>
      <w:r w:rsidRPr="00F351F9">
        <w:rPr>
          <w:rFonts w:ascii="Arial" w:hAnsi="Arial" w:cs="Arial"/>
          <w:b/>
          <w:bCs/>
          <w:sz w:val="20"/>
          <w:szCs w:val="20"/>
          <w:lang w:val="en-ZA"/>
        </w:rPr>
        <w:t xml:space="preserve">. Novel parameters of different manufacturers in relation to possible adaptability of the </w:t>
      </w:r>
      <w:proofErr w:type="spellStart"/>
      <w:r w:rsidRPr="00F351F9">
        <w:rPr>
          <w:rFonts w:ascii="Arial" w:hAnsi="Arial" w:cs="Arial"/>
          <w:b/>
          <w:bCs/>
          <w:sz w:val="20"/>
          <w:szCs w:val="20"/>
          <w:lang w:val="en-ZA"/>
        </w:rPr>
        <w:t>haemocytometric</w:t>
      </w:r>
      <w:proofErr w:type="spellEnd"/>
      <w:r w:rsidRPr="00F351F9">
        <w:rPr>
          <w:rFonts w:ascii="Arial" w:hAnsi="Arial" w:cs="Arial"/>
          <w:b/>
          <w:bCs/>
          <w:sz w:val="20"/>
          <w:szCs w:val="20"/>
          <w:lang w:val="en-ZA"/>
        </w:rPr>
        <w:t xml:space="preserve"> COVID-19 prognostic score to non-Sysmex haematology analysers</w:t>
      </w:r>
    </w:p>
    <w:tbl>
      <w:tblPr>
        <w:tblStyle w:val="TableGrid"/>
        <w:tblW w:w="14029" w:type="dxa"/>
        <w:tblLook w:val="04A0" w:firstRow="1" w:lastRow="0" w:firstColumn="1" w:lastColumn="0" w:noHBand="0" w:noVBand="1"/>
      </w:tblPr>
      <w:tblGrid>
        <w:gridCol w:w="1523"/>
        <w:gridCol w:w="1966"/>
        <w:gridCol w:w="2035"/>
        <w:gridCol w:w="1842"/>
        <w:gridCol w:w="1985"/>
        <w:gridCol w:w="2126"/>
        <w:gridCol w:w="2552"/>
      </w:tblGrid>
      <w:tr w:rsidR="00E47DDB" w:rsidRPr="0032367D" w14:paraId="53EA38A7" w14:textId="77777777" w:rsidTr="00EB37B9">
        <w:tc>
          <w:tcPr>
            <w:tcW w:w="1523" w:type="dxa"/>
          </w:tcPr>
          <w:p w14:paraId="2EC9C0BA" w14:textId="77777777" w:rsidR="00E47DDB" w:rsidRPr="0032367D" w:rsidRDefault="00E47DDB" w:rsidP="00EB37B9">
            <w:pPr>
              <w:rPr>
                <w:rFonts w:ascii="Arial" w:hAnsi="Arial" w:cs="Arial"/>
                <w:b/>
                <w:bCs/>
                <w:sz w:val="20"/>
                <w:szCs w:val="20"/>
              </w:rPr>
            </w:pPr>
            <w:r w:rsidRPr="0032367D">
              <w:rPr>
                <w:rFonts w:ascii="Arial" w:hAnsi="Arial" w:cs="Arial"/>
                <w:b/>
                <w:bCs/>
                <w:sz w:val="20"/>
                <w:szCs w:val="20"/>
              </w:rPr>
              <w:t>Company</w:t>
            </w:r>
          </w:p>
        </w:tc>
        <w:tc>
          <w:tcPr>
            <w:tcW w:w="1966" w:type="dxa"/>
          </w:tcPr>
          <w:p w14:paraId="0CF35CDD" w14:textId="77777777" w:rsidR="00E47DDB" w:rsidRPr="0032367D" w:rsidRDefault="00E47DDB" w:rsidP="00EB37B9">
            <w:pPr>
              <w:rPr>
                <w:rFonts w:ascii="Arial" w:hAnsi="Arial" w:cs="Arial"/>
                <w:b/>
                <w:bCs/>
                <w:sz w:val="20"/>
                <w:szCs w:val="20"/>
              </w:rPr>
            </w:pPr>
            <w:r w:rsidRPr="0032367D">
              <w:rPr>
                <w:rFonts w:ascii="Arial" w:hAnsi="Arial" w:cs="Arial"/>
                <w:b/>
                <w:bCs/>
                <w:sz w:val="20"/>
                <w:szCs w:val="20"/>
                <w:lang w:eastAsia="de-DE"/>
              </w:rPr>
              <w:t>Sysmex</w:t>
            </w:r>
            <w:r w:rsidRPr="0032367D">
              <w:rPr>
                <w:rFonts w:ascii="Arial" w:hAnsi="Arial" w:cs="Arial"/>
                <w:b/>
                <w:bCs/>
                <w:sz w:val="20"/>
                <w:szCs w:val="20"/>
              </w:rPr>
              <w:t xml:space="preserve"> </w:t>
            </w:r>
          </w:p>
        </w:tc>
        <w:tc>
          <w:tcPr>
            <w:tcW w:w="2035" w:type="dxa"/>
          </w:tcPr>
          <w:p w14:paraId="6F3E5416" w14:textId="77777777" w:rsidR="00E47DDB" w:rsidRPr="0032367D" w:rsidRDefault="00E47DDB" w:rsidP="00EB37B9">
            <w:pPr>
              <w:rPr>
                <w:rFonts w:ascii="Arial" w:hAnsi="Arial" w:cs="Arial"/>
                <w:b/>
                <w:bCs/>
                <w:sz w:val="20"/>
                <w:szCs w:val="20"/>
              </w:rPr>
            </w:pPr>
            <w:r w:rsidRPr="0032367D">
              <w:rPr>
                <w:rFonts w:ascii="Arial" w:hAnsi="Arial" w:cs="Arial"/>
                <w:b/>
                <w:bCs/>
                <w:sz w:val="20"/>
                <w:szCs w:val="20"/>
              </w:rPr>
              <w:t>Abbott</w:t>
            </w:r>
          </w:p>
        </w:tc>
        <w:tc>
          <w:tcPr>
            <w:tcW w:w="1842" w:type="dxa"/>
          </w:tcPr>
          <w:p w14:paraId="452CCCF9" w14:textId="77777777" w:rsidR="00E47DDB" w:rsidRPr="0032367D" w:rsidRDefault="00E47DDB" w:rsidP="00EB37B9">
            <w:pPr>
              <w:rPr>
                <w:rFonts w:ascii="Arial" w:hAnsi="Arial" w:cs="Arial"/>
                <w:b/>
                <w:bCs/>
                <w:sz w:val="20"/>
                <w:szCs w:val="20"/>
              </w:rPr>
            </w:pPr>
            <w:r w:rsidRPr="0032367D">
              <w:rPr>
                <w:rFonts w:ascii="Arial" w:hAnsi="Arial" w:cs="Arial"/>
                <w:b/>
                <w:bCs/>
                <w:sz w:val="20"/>
                <w:szCs w:val="20"/>
              </w:rPr>
              <w:t>Beckman Coulter</w:t>
            </w:r>
          </w:p>
        </w:tc>
        <w:tc>
          <w:tcPr>
            <w:tcW w:w="1985" w:type="dxa"/>
          </w:tcPr>
          <w:p w14:paraId="62C04565" w14:textId="77777777" w:rsidR="00E47DDB" w:rsidRPr="0032367D" w:rsidRDefault="00E47DDB" w:rsidP="00EB37B9">
            <w:pPr>
              <w:rPr>
                <w:rFonts w:ascii="Arial" w:hAnsi="Arial" w:cs="Arial"/>
                <w:b/>
                <w:bCs/>
                <w:sz w:val="20"/>
                <w:szCs w:val="20"/>
              </w:rPr>
            </w:pPr>
            <w:r w:rsidRPr="0032367D">
              <w:rPr>
                <w:rFonts w:ascii="Arial" w:hAnsi="Arial" w:cs="Arial"/>
                <w:b/>
                <w:bCs/>
                <w:sz w:val="20"/>
                <w:szCs w:val="20"/>
                <w:lang w:eastAsia="de-DE"/>
              </w:rPr>
              <w:t>Horiba</w:t>
            </w:r>
          </w:p>
        </w:tc>
        <w:tc>
          <w:tcPr>
            <w:tcW w:w="2126" w:type="dxa"/>
          </w:tcPr>
          <w:p w14:paraId="053324D6" w14:textId="77777777" w:rsidR="00E47DDB" w:rsidRPr="0032367D" w:rsidRDefault="00E47DDB" w:rsidP="00EB37B9">
            <w:pPr>
              <w:rPr>
                <w:rFonts w:ascii="Arial" w:hAnsi="Arial" w:cs="Arial"/>
                <w:b/>
                <w:bCs/>
                <w:sz w:val="20"/>
                <w:szCs w:val="20"/>
              </w:rPr>
            </w:pPr>
            <w:r w:rsidRPr="0032367D">
              <w:rPr>
                <w:rFonts w:ascii="Arial" w:hAnsi="Arial" w:cs="Arial"/>
                <w:b/>
                <w:bCs/>
                <w:sz w:val="20"/>
                <w:szCs w:val="20"/>
                <w:lang w:eastAsia="de-DE"/>
              </w:rPr>
              <w:t>Mindray</w:t>
            </w:r>
          </w:p>
        </w:tc>
        <w:tc>
          <w:tcPr>
            <w:tcW w:w="2552" w:type="dxa"/>
          </w:tcPr>
          <w:p w14:paraId="1618E3DC" w14:textId="77777777" w:rsidR="00E47DDB" w:rsidRPr="0032367D" w:rsidRDefault="00E47DDB" w:rsidP="00EB37B9">
            <w:pPr>
              <w:rPr>
                <w:rFonts w:ascii="Arial" w:hAnsi="Arial" w:cs="Arial"/>
                <w:b/>
                <w:bCs/>
                <w:sz w:val="20"/>
                <w:szCs w:val="20"/>
                <w:lang w:eastAsia="de-DE"/>
              </w:rPr>
            </w:pPr>
            <w:r w:rsidRPr="0032367D">
              <w:rPr>
                <w:rFonts w:ascii="Arial" w:hAnsi="Arial" w:cs="Arial"/>
                <w:b/>
                <w:bCs/>
                <w:sz w:val="20"/>
                <w:szCs w:val="20"/>
                <w:lang w:eastAsia="de-DE"/>
              </w:rPr>
              <w:t xml:space="preserve">Siemens </w:t>
            </w:r>
            <w:proofErr w:type="spellStart"/>
            <w:r w:rsidRPr="0032367D">
              <w:rPr>
                <w:rFonts w:ascii="Arial" w:hAnsi="Arial" w:cs="Arial"/>
                <w:b/>
                <w:bCs/>
                <w:sz w:val="20"/>
                <w:szCs w:val="20"/>
                <w:lang w:eastAsia="de-DE"/>
              </w:rPr>
              <w:t>Healthineers</w:t>
            </w:r>
            <w:proofErr w:type="spellEnd"/>
          </w:p>
        </w:tc>
      </w:tr>
      <w:tr w:rsidR="00E47DDB" w:rsidRPr="0032367D" w14:paraId="398AF0D2" w14:textId="77777777" w:rsidTr="00EB37B9">
        <w:tc>
          <w:tcPr>
            <w:tcW w:w="1523" w:type="dxa"/>
          </w:tcPr>
          <w:p w14:paraId="5B8C2E51" w14:textId="77777777" w:rsidR="00E47DDB" w:rsidRPr="0032367D" w:rsidRDefault="00E47DDB" w:rsidP="00EB37B9">
            <w:pPr>
              <w:rPr>
                <w:rFonts w:ascii="Arial" w:hAnsi="Arial" w:cs="Arial"/>
                <w:sz w:val="20"/>
                <w:szCs w:val="20"/>
              </w:rPr>
            </w:pPr>
            <w:r w:rsidRPr="0032367D">
              <w:rPr>
                <w:rFonts w:ascii="Arial" w:hAnsi="Arial" w:cs="Arial"/>
                <w:sz w:val="20"/>
                <w:szCs w:val="20"/>
              </w:rPr>
              <w:t>Models</w:t>
            </w:r>
          </w:p>
          <w:p w14:paraId="2BD9B67D" w14:textId="77777777" w:rsidR="00E47DDB" w:rsidRPr="0032367D" w:rsidRDefault="00E47DDB" w:rsidP="00EB37B9">
            <w:pPr>
              <w:rPr>
                <w:rFonts w:ascii="Arial" w:hAnsi="Arial" w:cs="Arial"/>
                <w:sz w:val="20"/>
                <w:szCs w:val="20"/>
              </w:rPr>
            </w:pPr>
          </w:p>
        </w:tc>
        <w:tc>
          <w:tcPr>
            <w:tcW w:w="1966" w:type="dxa"/>
          </w:tcPr>
          <w:p w14:paraId="5A3AA3D0"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XN-Series</w:t>
            </w:r>
          </w:p>
          <w:p w14:paraId="16AB4A91" w14:textId="77777777" w:rsidR="00E47DDB" w:rsidRPr="0032367D" w:rsidRDefault="00E47DDB" w:rsidP="00EB37B9">
            <w:pPr>
              <w:rPr>
                <w:rFonts w:ascii="Arial" w:hAnsi="Arial" w:cs="Arial"/>
                <w:sz w:val="20"/>
                <w:szCs w:val="20"/>
                <w:lang w:val="en-US"/>
              </w:rPr>
            </w:pPr>
          </w:p>
        </w:tc>
        <w:tc>
          <w:tcPr>
            <w:tcW w:w="2035" w:type="dxa"/>
          </w:tcPr>
          <w:p w14:paraId="445854A6"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CELL-DYN Sapphire</w:t>
            </w:r>
          </w:p>
          <w:p w14:paraId="0BB43215" w14:textId="77777777" w:rsidR="00E47DDB" w:rsidRPr="0032367D" w:rsidRDefault="00E47DDB" w:rsidP="00EB37B9">
            <w:pPr>
              <w:rPr>
                <w:rFonts w:ascii="Arial" w:hAnsi="Arial" w:cs="Arial"/>
                <w:sz w:val="20"/>
                <w:szCs w:val="20"/>
              </w:rPr>
            </w:pPr>
            <w:proofErr w:type="spellStart"/>
            <w:r w:rsidRPr="0032367D">
              <w:rPr>
                <w:rFonts w:ascii="Arial" w:hAnsi="Arial" w:cs="Arial"/>
                <w:sz w:val="20"/>
                <w:szCs w:val="20"/>
                <w:lang w:val="en-US"/>
              </w:rPr>
              <w:t>Alinity</w:t>
            </w:r>
            <w:proofErr w:type="spellEnd"/>
            <w:r w:rsidRPr="0032367D">
              <w:rPr>
                <w:rFonts w:ascii="Arial" w:hAnsi="Arial" w:cs="Arial"/>
                <w:sz w:val="20"/>
                <w:szCs w:val="20"/>
                <w:lang w:val="en-US"/>
              </w:rPr>
              <w:t xml:space="preserve"> </w:t>
            </w:r>
            <w:proofErr w:type="spellStart"/>
            <w:r w:rsidRPr="0032367D">
              <w:rPr>
                <w:rFonts w:ascii="Arial" w:hAnsi="Arial" w:cs="Arial"/>
                <w:sz w:val="20"/>
                <w:szCs w:val="20"/>
                <w:lang w:val="en-US"/>
              </w:rPr>
              <w:t>hq</w:t>
            </w:r>
            <w:proofErr w:type="spellEnd"/>
          </w:p>
        </w:tc>
        <w:tc>
          <w:tcPr>
            <w:tcW w:w="1842" w:type="dxa"/>
          </w:tcPr>
          <w:p w14:paraId="1AF217F0" w14:textId="77777777" w:rsidR="00E47DDB" w:rsidRPr="0032367D" w:rsidRDefault="00E47DDB" w:rsidP="00EB37B9">
            <w:pPr>
              <w:rPr>
                <w:rFonts w:ascii="Arial" w:hAnsi="Arial" w:cs="Arial"/>
                <w:sz w:val="20"/>
                <w:szCs w:val="20"/>
                <w:lang w:val="fr-FR"/>
              </w:rPr>
            </w:pPr>
            <w:proofErr w:type="spellStart"/>
            <w:r w:rsidRPr="0032367D">
              <w:rPr>
                <w:rFonts w:ascii="Arial" w:hAnsi="Arial" w:cs="Arial"/>
                <w:sz w:val="20"/>
                <w:szCs w:val="20"/>
                <w:lang w:val="fr-FR"/>
              </w:rPr>
              <w:t>UniCel</w:t>
            </w:r>
            <w:proofErr w:type="spellEnd"/>
            <w:r w:rsidRPr="0032367D">
              <w:rPr>
                <w:rFonts w:ascii="Arial" w:hAnsi="Arial" w:cs="Arial"/>
                <w:sz w:val="20"/>
                <w:szCs w:val="20"/>
                <w:lang w:val="fr-FR"/>
              </w:rPr>
              <w:t xml:space="preserve"> DxH800 /900</w:t>
            </w:r>
          </w:p>
          <w:p w14:paraId="548D1087" w14:textId="77777777" w:rsidR="00E47DDB" w:rsidRPr="0032367D" w:rsidRDefault="00E47DDB" w:rsidP="00EB37B9">
            <w:pPr>
              <w:rPr>
                <w:rFonts w:ascii="Arial" w:hAnsi="Arial" w:cs="Arial"/>
                <w:sz w:val="20"/>
                <w:szCs w:val="20"/>
                <w:lang w:val="fr-FR"/>
              </w:rPr>
            </w:pPr>
            <w:proofErr w:type="spellStart"/>
            <w:r w:rsidRPr="0032367D">
              <w:rPr>
                <w:rFonts w:ascii="Arial" w:hAnsi="Arial" w:cs="Arial"/>
                <w:sz w:val="20"/>
                <w:szCs w:val="20"/>
                <w:lang w:val="fr-FR"/>
              </w:rPr>
              <w:t>UniCel</w:t>
            </w:r>
            <w:proofErr w:type="spellEnd"/>
            <w:r w:rsidRPr="0032367D">
              <w:rPr>
                <w:rFonts w:ascii="Arial" w:hAnsi="Arial" w:cs="Arial"/>
                <w:sz w:val="20"/>
                <w:szCs w:val="20"/>
                <w:lang w:val="fr-FR"/>
              </w:rPr>
              <w:t xml:space="preserve"> DxH600 /690T</w:t>
            </w:r>
          </w:p>
        </w:tc>
        <w:tc>
          <w:tcPr>
            <w:tcW w:w="1985" w:type="dxa"/>
          </w:tcPr>
          <w:p w14:paraId="42BFE9AD" w14:textId="77777777" w:rsidR="00E47DDB" w:rsidRPr="0032367D" w:rsidRDefault="00E47DDB" w:rsidP="00EB37B9">
            <w:pPr>
              <w:rPr>
                <w:rFonts w:ascii="Arial" w:hAnsi="Arial" w:cs="Arial"/>
                <w:sz w:val="20"/>
                <w:szCs w:val="20"/>
                <w:lang w:val="en-US"/>
              </w:rPr>
            </w:pPr>
            <w:proofErr w:type="spellStart"/>
            <w:r w:rsidRPr="0032367D">
              <w:rPr>
                <w:rFonts w:ascii="Arial" w:hAnsi="Arial" w:cs="Arial"/>
                <w:sz w:val="20"/>
                <w:szCs w:val="20"/>
                <w:lang w:val="en-US"/>
              </w:rPr>
              <w:t>Yumizen</w:t>
            </w:r>
            <w:proofErr w:type="spellEnd"/>
            <w:r w:rsidRPr="0032367D">
              <w:rPr>
                <w:rFonts w:ascii="Arial" w:hAnsi="Arial" w:cs="Arial"/>
                <w:sz w:val="20"/>
                <w:szCs w:val="20"/>
                <w:lang w:val="en-US"/>
              </w:rPr>
              <w:t xml:space="preserve"> H1500, H2500</w:t>
            </w:r>
          </w:p>
        </w:tc>
        <w:tc>
          <w:tcPr>
            <w:tcW w:w="2126" w:type="dxa"/>
          </w:tcPr>
          <w:p w14:paraId="57747B7F" w14:textId="77777777" w:rsidR="00E47DDB" w:rsidRPr="0032367D" w:rsidRDefault="00E47DDB" w:rsidP="00EB37B9">
            <w:pPr>
              <w:rPr>
                <w:rFonts w:ascii="Arial" w:hAnsi="Arial" w:cs="Arial"/>
                <w:sz w:val="20"/>
                <w:szCs w:val="20"/>
              </w:rPr>
            </w:pPr>
            <w:r w:rsidRPr="0032367D">
              <w:rPr>
                <w:rFonts w:ascii="Arial" w:hAnsi="Arial" w:cs="Arial"/>
                <w:sz w:val="20"/>
                <w:szCs w:val="20"/>
              </w:rPr>
              <w:t xml:space="preserve">BC-6800, </w:t>
            </w:r>
            <w:r w:rsidRPr="0032367D">
              <w:rPr>
                <w:rFonts w:ascii="Arial" w:hAnsi="Arial" w:cs="Arial"/>
                <w:sz w:val="20"/>
                <w:szCs w:val="20"/>
              </w:rPr>
              <w:br/>
              <w:t>BC-6000, BC-6200, BC-6800+</w:t>
            </w:r>
          </w:p>
        </w:tc>
        <w:tc>
          <w:tcPr>
            <w:tcW w:w="2552" w:type="dxa"/>
          </w:tcPr>
          <w:p w14:paraId="2AB29553" w14:textId="77777777" w:rsidR="00E47DDB" w:rsidRPr="0032367D" w:rsidRDefault="00E47DDB" w:rsidP="00EB37B9">
            <w:pPr>
              <w:rPr>
                <w:rFonts w:ascii="Arial" w:hAnsi="Arial" w:cs="Arial"/>
                <w:sz w:val="20"/>
                <w:szCs w:val="20"/>
                <w:lang w:val="en-US"/>
              </w:rPr>
            </w:pPr>
            <w:proofErr w:type="spellStart"/>
            <w:r w:rsidRPr="0032367D">
              <w:rPr>
                <w:rFonts w:ascii="Arial" w:hAnsi="Arial" w:cs="Arial"/>
                <w:sz w:val="20"/>
                <w:szCs w:val="20"/>
                <w:lang w:val="en-US"/>
              </w:rPr>
              <w:t>Advia</w:t>
            </w:r>
            <w:proofErr w:type="spellEnd"/>
            <w:r w:rsidRPr="0032367D">
              <w:rPr>
                <w:rFonts w:ascii="Arial" w:hAnsi="Arial" w:cs="Arial"/>
                <w:sz w:val="20"/>
                <w:szCs w:val="20"/>
                <w:lang w:val="en-US"/>
              </w:rPr>
              <w:t xml:space="preserve"> 2120i</w:t>
            </w:r>
          </w:p>
          <w:p w14:paraId="201750FE" w14:textId="77777777" w:rsidR="00E47DDB" w:rsidRPr="0032367D" w:rsidRDefault="00E47DDB" w:rsidP="00EB37B9">
            <w:pPr>
              <w:rPr>
                <w:rFonts w:ascii="Arial" w:hAnsi="Arial" w:cs="Arial"/>
                <w:sz w:val="20"/>
                <w:szCs w:val="20"/>
              </w:rPr>
            </w:pPr>
            <w:proofErr w:type="spellStart"/>
            <w:r w:rsidRPr="0032367D">
              <w:rPr>
                <w:rFonts w:ascii="Arial" w:hAnsi="Arial" w:cs="Arial"/>
                <w:sz w:val="20"/>
                <w:szCs w:val="20"/>
                <w:lang w:val="en-US"/>
              </w:rPr>
              <w:t>Advia</w:t>
            </w:r>
            <w:proofErr w:type="spellEnd"/>
            <w:r w:rsidRPr="0032367D">
              <w:rPr>
                <w:rFonts w:ascii="Arial" w:hAnsi="Arial" w:cs="Arial"/>
                <w:sz w:val="20"/>
                <w:szCs w:val="20"/>
                <w:lang w:val="en-US"/>
              </w:rPr>
              <w:t xml:space="preserve"> 120</w:t>
            </w:r>
          </w:p>
        </w:tc>
      </w:tr>
      <w:tr w:rsidR="00E47DDB" w:rsidRPr="0032367D" w14:paraId="61220C33" w14:textId="77777777" w:rsidTr="00EB37B9">
        <w:tc>
          <w:tcPr>
            <w:tcW w:w="14029" w:type="dxa"/>
            <w:gridSpan w:val="7"/>
          </w:tcPr>
          <w:p w14:paraId="22458C3F" w14:textId="77777777" w:rsidR="00E47DDB" w:rsidRPr="0032367D" w:rsidRDefault="00E47DDB" w:rsidP="00EB37B9">
            <w:pPr>
              <w:rPr>
                <w:rFonts w:ascii="Arial" w:hAnsi="Arial" w:cs="Arial"/>
                <w:sz w:val="20"/>
                <w:szCs w:val="20"/>
                <w:lang w:val="en-US"/>
              </w:rPr>
            </w:pPr>
            <w:r w:rsidRPr="0032367D">
              <w:rPr>
                <w:rFonts w:ascii="Arial" w:hAnsi="Arial" w:cs="Arial"/>
                <w:sz w:val="20"/>
                <w:szCs w:val="20"/>
              </w:rPr>
              <w:t>White blood cell parameters</w:t>
            </w:r>
          </w:p>
        </w:tc>
      </w:tr>
      <w:tr w:rsidR="00E47DDB" w:rsidRPr="0032367D" w14:paraId="302AF07A" w14:textId="77777777" w:rsidTr="00EB37B9">
        <w:tc>
          <w:tcPr>
            <w:tcW w:w="1523" w:type="dxa"/>
          </w:tcPr>
          <w:p w14:paraId="723AED05" w14:textId="77777777" w:rsidR="00E47DDB" w:rsidRPr="0032367D" w:rsidRDefault="00E47DDB" w:rsidP="00EB37B9">
            <w:pPr>
              <w:rPr>
                <w:rFonts w:ascii="Arial" w:hAnsi="Arial" w:cs="Arial"/>
                <w:sz w:val="20"/>
                <w:szCs w:val="20"/>
              </w:rPr>
            </w:pPr>
            <w:r w:rsidRPr="0032367D">
              <w:rPr>
                <w:rFonts w:ascii="Arial" w:hAnsi="Arial" w:cs="Arial"/>
                <w:sz w:val="20"/>
                <w:szCs w:val="20"/>
              </w:rPr>
              <w:t>Immature granulocytes</w:t>
            </w:r>
          </w:p>
          <w:p w14:paraId="59A3D99E" w14:textId="77777777" w:rsidR="00E47DDB" w:rsidRPr="0032367D" w:rsidRDefault="00E47DDB" w:rsidP="00EB37B9">
            <w:pPr>
              <w:rPr>
                <w:rFonts w:ascii="Arial" w:hAnsi="Arial" w:cs="Arial"/>
                <w:sz w:val="20"/>
                <w:szCs w:val="20"/>
              </w:rPr>
            </w:pPr>
          </w:p>
          <w:p w14:paraId="7DE06586" w14:textId="77777777" w:rsidR="00E47DDB" w:rsidRPr="0032367D" w:rsidRDefault="00E47DDB" w:rsidP="00EB37B9">
            <w:pPr>
              <w:rPr>
                <w:rFonts w:ascii="Arial" w:hAnsi="Arial" w:cs="Arial"/>
                <w:sz w:val="20"/>
                <w:szCs w:val="20"/>
              </w:rPr>
            </w:pPr>
          </w:p>
          <w:p w14:paraId="24A3D1CC" w14:textId="77777777" w:rsidR="00E47DDB" w:rsidRPr="0032367D" w:rsidRDefault="00E47DDB" w:rsidP="00EB37B9">
            <w:pPr>
              <w:rPr>
                <w:rFonts w:ascii="Arial" w:hAnsi="Arial" w:cs="Arial"/>
                <w:sz w:val="20"/>
                <w:szCs w:val="20"/>
              </w:rPr>
            </w:pPr>
          </w:p>
          <w:p w14:paraId="3BB44C5C" w14:textId="77777777" w:rsidR="00E47DDB" w:rsidRPr="0032367D" w:rsidRDefault="00E47DDB" w:rsidP="00EB37B9">
            <w:pPr>
              <w:rPr>
                <w:rFonts w:ascii="Arial" w:hAnsi="Arial" w:cs="Arial"/>
                <w:sz w:val="20"/>
                <w:szCs w:val="20"/>
              </w:rPr>
            </w:pPr>
          </w:p>
        </w:tc>
        <w:tc>
          <w:tcPr>
            <w:tcW w:w="1966" w:type="dxa"/>
          </w:tcPr>
          <w:p w14:paraId="0EE249AE" w14:textId="77777777" w:rsidR="00E47DDB" w:rsidRPr="0032367D" w:rsidRDefault="00E47DDB" w:rsidP="00EB37B9">
            <w:pPr>
              <w:rPr>
                <w:rFonts w:ascii="Arial" w:hAnsi="Arial" w:cs="Arial"/>
                <w:sz w:val="20"/>
                <w:szCs w:val="20"/>
              </w:rPr>
            </w:pPr>
            <w:r w:rsidRPr="0032367D">
              <w:rPr>
                <w:rFonts w:ascii="Arial" w:hAnsi="Arial" w:cs="Arial"/>
                <w:sz w:val="20"/>
                <w:szCs w:val="20"/>
              </w:rPr>
              <w:t xml:space="preserve">IG %, # </w:t>
            </w:r>
          </w:p>
          <w:p w14:paraId="1A314D0A" w14:textId="77777777" w:rsidR="00E47DDB" w:rsidRPr="0032367D" w:rsidRDefault="00E47DDB" w:rsidP="00EB37B9">
            <w:pPr>
              <w:rPr>
                <w:rFonts w:ascii="Arial" w:hAnsi="Arial" w:cs="Arial"/>
                <w:sz w:val="20"/>
                <w:szCs w:val="20"/>
              </w:rPr>
            </w:pPr>
          </w:p>
          <w:p w14:paraId="70652E47" w14:textId="77777777" w:rsidR="00E47DDB" w:rsidRPr="0032367D" w:rsidRDefault="00E47DDB" w:rsidP="00EB37B9">
            <w:pPr>
              <w:rPr>
                <w:rFonts w:ascii="Arial" w:hAnsi="Arial" w:cs="Arial"/>
                <w:sz w:val="20"/>
                <w:szCs w:val="20"/>
              </w:rPr>
            </w:pPr>
          </w:p>
          <w:p w14:paraId="74AD5C17" w14:textId="77777777" w:rsidR="00E47DDB" w:rsidRPr="0032367D" w:rsidRDefault="00E47DDB" w:rsidP="00EB37B9">
            <w:pPr>
              <w:rPr>
                <w:rFonts w:ascii="Arial" w:hAnsi="Arial" w:cs="Arial"/>
                <w:sz w:val="20"/>
                <w:szCs w:val="20"/>
              </w:rPr>
            </w:pPr>
          </w:p>
        </w:tc>
        <w:tc>
          <w:tcPr>
            <w:tcW w:w="2035" w:type="dxa"/>
          </w:tcPr>
          <w:p w14:paraId="39B2D9C3" w14:textId="77777777" w:rsidR="00E47DDB" w:rsidRPr="0032367D" w:rsidRDefault="00E47DDB" w:rsidP="00EB37B9">
            <w:pPr>
              <w:rPr>
                <w:rFonts w:ascii="Arial" w:hAnsi="Arial" w:cs="Arial"/>
                <w:sz w:val="20"/>
                <w:szCs w:val="20"/>
              </w:rPr>
            </w:pPr>
            <w:r w:rsidRPr="0032367D">
              <w:rPr>
                <w:rFonts w:ascii="Arial" w:hAnsi="Arial" w:cs="Arial"/>
                <w:sz w:val="20"/>
                <w:szCs w:val="20"/>
              </w:rPr>
              <w:t xml:space="preserve">IG %, # </w:t>
            </w:r>
          </w:p>
          <w:p w14:paraId="1D58EDFA" w14:textId="77777777" w:rsidR="00E47DDB" w:rsidRPr="0032367D" w:rsidRDefault="00E47DDB" w:rsidP="00EB37B9">
            <w:pPr>
              <w:rPr>
                <w:rFonts w:ascii="Arial" w:hAnsi="Arial" w:cs="Arial"/>
                <w:sz w:val="20"/>
                <w:szCs w:val="20"/>
                <w:lang w:val="en-US"/>
              </w:rPr>
            </w:pPr>
          </w:p>
        </w:tc>
        <w:tc>
          <w:tcPr>
            <w:tcW w:w="1842" w:type="dxa"/>
          </w:tcPr>
          <w:p w14:paraId="77AE4504" w14:textId="77777777" w:rsidR="00E47DDB" w:rsidRPr="0032367D" w:rsidRDefault="00E47DDB" w:rsidP="00EB37B9">
            <w:pPr>
              <w:rPr>
                <w:rFonts w:ascii="Arial" w:hAnsi="Arial" w:cs="Arial"/>
                <w:i/>
                <w:iCs/>
                <w:color w:val="4472C4" w:themeColor="accent1"/>
                <w:sz w:val="20"/>
                <w:szCs w:val="20"/>
                <w:lang w:val="en-US"/>
              </w:rPr>
            </w:pPr>
            <w:r w:rsidRPr="0032367D">
              <w:rPr>
                <w:rFonts w:ascii="Arial" w:hAnsi="Arial" w:cs="Arial"/>
                <w:i/>
                <w:iCs/>
                <w:color w:val="4472C4" w:themeColor="accent1"/>
                <w:sz w:val="20"/>
                <w:szCs w:val="20"/>
                <w:lang w:val="en-US"/>
              </w:rPr>
              <w:t xml:space="preserve">EGC %, # </w:t>
            </w:r>
          </w:p>
          <w:p w14:paraId="739AA94E" w14:textId="77777777" w:rsidR="00E47DDB" w:rsidRPr="0032367D" w:rsidRDefault="00E47DDB" w:rsidP="00EB37B9">
            <w:pPr>
              <w:rPr>
                <w:rFonts w:ascii="Arial" w:hAnsi="Arial" w:cs="Arial"/>
                <w:i/>
                <w:iCs/>
                <w:color w:val="4472C4" w:themeColor="accent1"/>
                <w:sz w:val="20"/>
                <w:szCs w:val="20"/>
                <w:lang w:val="en-US"/>
              </w:rPr>
            </w:pPr>
            <w:r w:rsidRPr="0032367D">
              <w:rPr>
                <w:rFonts w:ascii="Arial" w:hAnsi="Arial" w:cs="Arial"/>
                <w:i/>
                <w:iCs/>
                <w:color w:val="4472C4" w:themeColor="accent1"/>
                <w:sz w:val="20"/>
                <w:szCs w:val="20"/>
                <w:lang w:val="en-US"/>
              </w:rPr>
              <w:t>(Early granulocytic cell)</w:t>
            </w:r>
          </w:p>
          <w:p w14:paraId="0F5E031C" w14:textId="77777777" w:rsidR="00E47DDB" w:rsidRPr="0032367D" w:rsidRDefault="00E47DDB" w:rsidP="00EB37B9">
            <w:pPr>
              <w:rPr>
                <w:rFonts w:ascii="Arial" w:hAnsi="Arial" w:cs="Arial"/>
                <w:color w:val="4472C4" w:themeColor="accent1"/>
                <w:sz w:val="20"/>
                <w:szCs w:val="20"/>
                <w:lang w:val="en-US"/>
              </w:rPr>
            </w:pPr>
            <w:r w:rsidRPr="0032367D">
              <w:rPr>
                <w:rFonts w:ascii="Arial" w:hAnsi="Arial" w:cs="Arial"/>
                <w:color w:val="4472C4" w:themeColor="accent1"/>
                <w:sz w:val="20"/>
                <w:szCs w:val="20"/>
                <w:lang w:val="en-US"/>
              </w:rPr>
              <w:br/>
            </w:r>
          </w:p>
        </w:tc>
        <w:tc>
          <w:tcPr>
            <w:tcW w:w="1985" w:type="dxa"/>
          </w:tcPr>
          <w:p w14:paraId="24AA00B2" w14:textId="77777777" w:rsidR="00E47DDB" w:rsidRPr="0032367D" w:rsidRDefault="00E47DDB" w:rsidP="00EB37B9">
            <w:pPr>
              <w:rPr>
                <w:rFonts w:ascii="Arial" w:hAnsi="Arial" w:cs="Arial"/>
                <w:sz w:val="20"/>
                <w:szCs w:val="20"/>
              </w:rPr>
            </w:pPr>
            <w:r w:rsidRPr="0032367D">
              <w:rPr>
                <w:rFonts w:ascii="Arial" w:hAnsi="Arial" w:cs="Arial"/>
                <w:bCs/>
                <w:sz w:val="20"/>
                <w:szCs w:val="20"/>
              </w:rPr>
              <w:t>IMG %, IMG #</w:t>
            </w:r>
          </w:p>
          <w:p w14:paraId="28E976FF" w14:textId="77777777" w:rsidR="00E47DDB" w:rsidRPr="0032367D" w:rsidRDefault="00E47DDB" w:rsidP="00EB37B9">
            <w:pPr>
              <w:rPr>
                <w:rFonts w:ascii="Arial" w:hAnsi="Arial" w:cs="Arial"/>
                <w:sz w:val="20"/>
                <w:szCs w:val="20"/>
              </w:rPr>
            </w:pPr>
            <w:r w:rsidRPr="0032367D">
              <w:rPr>
                <w:rFonts w:ascii="Arial" w:hAnsi="Arial" w:cs="Arial"/>
                <w:bCs/>
                <w:sz w:val="20"/>
                <w:szCs w:val="20"/>
              </w:rPr>
              <w:t>(Immature granulocyte)</w:t>
            </w:r>
          </w:p>
          <w:p w14:paraId="1F86CF4F" w14:textId="77777777" w:rsidR="00E47DDB" w:rsidRPr="0032367D" w:rsidRDefault="00E47DDB" w:rsidP="00EB37B9">
            <w:pPr>
              <w:rPr>
                <w:rFonts w:ascii="Arial" w:hAnsi="Arial" w:cs="Arial"/>
                <w:sz w:val="20"/>
                <w:szCs w:val="20"/>
              </w:rPr>
            </w:pPr>
          </w:p>
        </w:tc>
        <w:tc>
          <w:tcPr>
            <w:tcW w:w="2126" w:type="dxa"/>
          </w:tcPr>
          <w:p w14:paraId="11CBC5CB" w14:textId="77777777" w:rsidR="00E47DDB" w:rsidRPr="0032367D" w:rsidRDefault="00E47DDB" w:rsidP="00EB37B9">
            <w:pPr>
              <w:rPr>
                <w:rFonts w:ascii="Arial" w:hAnsi="Arial" w:cs="Arial"/>
                <w:sz w:val="20"/>
                <w:szCs w:val="20"/>
                <w:lang w:val="it-IT"/>
              </w:rPr>
            </w:pPr>
            <w:r w:rsidRPr="0032367D">
              <w:rPr>
                <w:rFonts w:ascii="Arial" w:hAnsi="Arial" w:cs="Arial"/>
                <w:sz w:val="20"/>
                <w:szCs w:val="20"/>
                <w:lang w:val="it-IT"/>
              </w:rPr>
              <w:t xml:space="preserve">IMG </w:t>
            </w:r>
          </w:p>
          <w:p w14:paraId="516FCA25" w14:textId="77777777" w:rsidR="00E47DDB" w:rsidRPr="0032367D" w:rsidRDefault="00E47DDB" w:rsidP="00EB37B9">
            <w:pPr>
              <w:rPr>
                <w:rFonts w:ascii="Arial" w:hAnsi="Arial" w:cs="Arial"/>
                <w:sz w:val="20"/>
                <w:szCs w:val="20"/>
                <w:lang w:val="it-IT"/>
              </w:rPr>
            </w:pPr>
            <w:r w:rsidRPr="0032367D">
              <w:rPr>
                <w:rFonts w:ascii="Arial" w:hAnsi="Arial" w:cs="Arial"/>
                <w:sz w:val="20"/>
                <w:szCs w:val="20"/>
                <w:lang w:val="it-IT"/>
              </w:rPr>
              <w:t xml:space="preserve">(Immature </w:t>
            </w:r>
            <w:proofErr w:type="spellStart"/>
            <w:r w:rsidRPr="0032367D">
              <w:rPr>
                <w:rFonts w:ascii="Arial" w:hAnsi="Arial" w:cs="Arial"/>
                <w:sz w:val="20"/>
                <w:szCs w:val="20"/>
                <w:lang w:val="it-IT"/>
              </w:rPr>
              <w:t>granulocyte</w:t>
            </w:r>
            <w:proofErr w:type="spellEnd"/>
            <w:r w:rsidRPr="0032367D">
              <w:rPr>
                <w:rFonts w:ascii="Arial" w:hAnsi="Arial" w:cs="Arial"/>
                <w:sz w:val="20"/>
                <w:szCs w:val="20"/>
                <w:lang w:val="it-IT"/>
              </w:rPr>
              <w:t>)</w:t>
            </w:r>
          </w:p>
          <w:p w14:paraId="48AADFA2" w14:textId="77777777" w:rsidR="00E47DDB" w:rsidRPr="0032367D" w:rsidRDefault="00E47DDB" w:rsidP="00EB37B9">
            <w:pPr>
              <w:rPr>
                <w:rFonts w:ascii="Arial" w:hAnsi="Arial" w:cs="Arial"/>
                <w:sz w:val="20"/>
                <w:szCs w:val="20"/>
                <w:lang w:val="it-IT"/>
              </w:rPr>
            </w:pPr>
          </w:p>
          <w:p w14:paraId="5E521CCC" w14:textId="77777777" w:rsidR="00E47DDB" w:rsidRPr="0032367D" w:rsidRDefault="00E47DDB" w:rsidP="00EB37B9">
            <w:pPr>
              <w:rPr>
                <w:rFonts w:ascii="Arial" w:hAnsi="Arial" w:cs="Arial"/>
                <w:i/>
                <w:iCs/>
                <w:color w:val="4472C4" w:themeColor="accent1"/>
                <w:sz w:val="20"/>
                <w:szCs w:val="20"/>
                <w:lang w:val="it-IT"/>
              </w:rPr>
            </w:pPr>
            <w:r w:rsidRPr="0032367D">
              <w:rPr>
                <w:rFonts w:ascii="Arial" w:hAnsi="Arial" w:cs="Arial"/>
                <w:i/>
                <w:iCs/>
                <w:color w:val="4472C4" w:themeColor="accent1"/>
                <w:sz w:val="20"/>
                <w:szCs w:val="20"/>
                <w:lang w:val="it-IT"/>
              </w:rPr>
              <w:t xml:space="preserve">IME %, #  </w:t>
            </w:r>
          </w:p>
          <w:p w14:paraId="0F279AE0" w14:textId="77777777" w:rsidR="00E47DDB" w:rsidRPr="0032367D" w:rsidRDefault="00E47DDB" w:rsidP="00EB37B9">
            <w:pPr>
              <w:rPr>
                <w:rFonts w:ascii="Arial" w:hAnsi="Arial" w:cs="Arial"/>
                <w:color w:val="172A2D"/>
                <w:sz w:val="20"/>
                <w:szCs w:val="20"/>
                <w:lang w:val="it-IT"/>
              </w:rPr>
            </w:pPr>
            <w:r w:rsidRPr="0032367D">
              <w:rPr>
                <w:rFonts w:ascii="Arial" w:hAnsi="Arial" w:cs="Arial"/>
                <w:i/>
                <w:iCs/>
                <w:color w:val="4472C4" w:themeColor="accent1"/>
                <w:sz w:val="20"/>
                <w:szCs w:val="20"/>
                <w:lang w:val="it-IT"/>
              </w:rPr>
              <w:t xml:space="preserve">(Immature </w:t>
            </w:r>
            <w:proofErr w:type="spellStart"/>
            <w:r w:rsidRPr="0032367D">
              <w:rPr>
                <w:rFonts w:ascii="Arial" w:hAnsi="Arial" w:cs="Arial"/>
                <w:i/>
                <w:iCs/>
                <w:color w:val="4472C4" w:themeColor="accent1"/>
                <w:sz w:val="20"/>
                <w:szCs w:val="20"/>
                <w:lang w:val="it-IT"/>
              </w:rPr>
              <w:t>Eo</w:t>
            </w:r>
            <w:proofErr w:type="spellEnd"/>
            <w:r w:rsidRPr="0032367D">
              <w:rPr>
                <w:rFonts w:ascii="Arial" w:hAnsi="Arial" w:cs="Arial"/>
                <w:i/>
                <w:iCs/>
                <w:color w:val="4472C4" w:themeColor="accent1"/>
                <w:sz w:val="20"/>
                <w:szCs w:val="20"/>
                <w:lang w:val="it-IT"/>
              </w:rPr>
              <w:t>)</w:t>
            </w:r>
          </w:p>
        </w:tc>
        <w:tc>
          <w:tcPr>
            <w:tcW w:w="2552" w:type="dxa"/>
          </w:tcPr>
          <w:p w14:paraId="7D6D31E7"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 xml:space="preserve">DNI </w:t>
            </w:r>
          </w:p>
          <w:p w14:paraId="61206367"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(Delta neutrophil index)</w:t>
            </w:r>
          </w:p>
          <w:p w14:paraId="32924341" w14:textId="77777777" w:rsidR="00E47DDB" w:rsidRPr="0032367D" w:rsidRDefault="00E47DDB" w:rsidP="00EB37B9">
            <w:pPr>
              <w:rPr>
                <w:rFonts w:ascii="Arial" w:hAnsi="Arial" w:cs="Arial"/>
                <w:sz w:val="20"/>
                <w:szCs w:val="20"/>
                <w:lang w:val="en-US"/>
              </w:rPr>
            </w:pPr>
          </w:p>
        </w:tc>
      </w:tr>
      <w:tr w:rsidR="00E47DDB" w:rsidRPr="0032367D" w14:paraId="4B3DE80A" w14:textId="77777777" w:rsidTr="00EB37B9">
        <w:trPr>
          <w:trHeight w:val="863"/>
        </w:trPr>
        <w:tc>
          <w:tcPr>
            <w:tcW w:w="1523" w:type="dxa"/>
          </w:tcPr>
          <w:p w14:paraId="7A584651" w14:textId="77777777" w:rsidR="00E47DDB" w:rsidRPr="0032367D" w:rsidRDefault="00E47DDB" w:rsidP="00EB37B9">
            <w:pPr>
              <w:rPr>
                <w:rFonts w:ascii="Arial" w:hAnsi="Arial" w:cs="Arial"/>
                <w:sz w:val="20"/>
                <w:szCs w:val="20"/>
              </w:rPr>
            </w:pPr>
            <w:r w:rsidRPr="0032367D">
              <w:rPr>
                <w:rFonts w:ascii="Arial" w:hAnsi="Arial" w:cs="Arial"/>
                <w:sz w:val="20"/>
                <w:szCs w:val="20"/>
              </w:rPr>
              <w:t>Neutrophil parameters</w:t>
            </w:r>
          </w:p>
        </w:tc>
        <w:tc>
          <w:tcPr>
            <w:tcW w:w="1966" w:type="dxa"/>
          </w:tcPr>
          <w:p w14:paraId="278E9500"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ZA"/>
              </w:rPr>
              <w:t>NEUT-RI</w:t>
            </w:r>
          </w:p>
          <w:p w14:paraId="23F6F958"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ZA"/>
              </w:rPr>
              <w:t>NEUT-GI</w:t>
            </w:r>
          </w:p>
          <w:p w14:paraId="54C85E5D"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ZA"/>
              </w:rPr>
              <w:t>(reactivity &amp; granularity index)</w:t>
            </w:r>
          </w:p>
          <w:p w14:paraId="25D8F4DF" w14:textId="77777777" w:rsidR="00E47DDB" w:rsidRPr="0032367D" w:rsidRDefault="00E47DDB" w:rsidP="00EB37B9">
            <w:pPr>
              <w:rPr>
                <w:rFonts w:ascii="Arial" w:hAnsi="Arial" w:cs="Arial"/>
                <w:sz w:val="20"/>
                <w:szCs w:val="20"/>
                <w:lang w:val="en-ZA"/>
              </w:rPr>
            </w:pPr>
          </w:p>
        </w:tc>
        <w:tc>
          <w:tcPr>
            <w:tcW w:w="2035" w:type="dxa"/>
          </w:tcPr>
          <w:p w14:paraId="0F36D5BF" w14:textId="77777777" w:rsidR="00E47DDB" w:rsidRPr="0032367D" w:rsidRDefault="00E47DDB" w:rsidP="00EB37B9">
            <w:pPr>
              <w:rPr>
                <w:rFonts w:ascii="Arial" w:hAnsi="Arial" w:cs="Arial"/>
                <w:sz w:val="20"/>
                <w:szCs w:val="20"/>
                <w:lang w:val="en-US"/>
              </w:rPr>
            </w:pPr>
          </w:p>
        </w:tc>
        <w:tc>
          <w:tcPr>
            <w:tcW w:w="1842" w:type="dxa"/>
          </w:tcPr>
          <w:p w14:paraId="45B2C5D8" w14:textId="77777777" w:rsidR="00E47DDB" w:rsidRPr="0032367D" w:rsidRDefault="00E47DDB" w:rsidP="00EB37B9">
            <w:pPr>
              <w:rPr>
                <w:rFonts w:ascii="Arial" w:hAnsi="Arial" w:cs="Arial"/>
                <w:color w:val="4472C4" w:themeColor="accent1"/>
                <w:sz w:val="20"/>
                <w:szCs w:val="20"/>
                <w:lang w:val="en-US"/>
              </w:rPr>
            </w:pPr>
            <w:r w:rsidRPr="0032367D">
              <w:rPr>
                <w:rFonts w:ascii="Arial" w:hAnsi="Arial" w:cs="Arial"/>
                <w:i/>
                <w:iCs/>
                <w:color w:val="4472C4" w:themeColor="accent1"/>
                <w:sz w:val="20"/>
                <w:szCs w:val="20"/>
                <w:lang w:val="en-US"/>
              </w:rPr>
              <w:t>Mean neutrophil volume (MNV), neutrophil distribution width (NDW)</w:t>
            </w:r>
          </w:p>
        </w:tc>
        <w:tc>
          <w:tcPr>
            <w:tcW w:w="1985" w:type="dxa"/>
          </w:tcPr>
          <w:p w14:paraId="765CD7EA" w14:textId="77777777" w:rsidR="00E47DDB" w:rsidRPr="0032367D" w:rsidRDefault="00E47DDB" w:rsidP="00EB37B9">
            <w:pPr>
              <w:rPr>
                <w:rFonts w:ascii="Arial" w:hAnsi="Arial" w:cs="Arial"/>
                <w:sz w:val="20"/>
                <w:szCs w:val="20"/>
                <w:lang w:val="en-ZA"/>
              </w:rPr>
            </w:pPr>
          </w:p>
        </w:tc>
        <w:tc>
          <w:tcPr>
            <w:tcW w:w="2126" w:type="dxa"/>
          </w:tcPr>
          <w:p w14:paraId="62D43427" w14:textId="77777777" w:rsidR="00E47DDB" w:rsidRPr="0032367D" w:rsidRDefault="00E47DDB" w:rsidP="00EB37B9">
            <w:pPr>
              <w:rPr>
                <w:rFonts w:ascii="Arial" w:hAnsi="Arial" w:cs="Arial"/>
                <w:sz w:val="20"/>
                <w:szCs w:val="20"/>
                <w:lang w:val="en-US"/>
              </w:rPr>
            </w:pPr>
          </w:p>
        </w:tc>
        <w:tc>
          <w:tcPr>
            <w:tcW w:w="2552" w:type="dxa"/>
          </w:tcPr>
          <w:p w14:paraId="01E197A9"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DNI (delta neutrophil index)</w:t>
            </w:r>
          </w:p>
          <w:p w14:paraId="4683D98E" w14:textId="77777777" w:rsidR="00E47DDB" w:rsidRPr="0032367D" w:rsidRDefault="00E47DDB" w:rsidP="00EB37B9">
            <w:pPr>
              <w:rPr>
                <w:rFonts w:ascii="Arial" w:hAnsi="Arial" w:cs="Arial"/>
                <w:sz w:val="20"/>
                <w:szCs w:val="20"/>
                <w:lang w:val="en-US"/>
              </w:rPr>
            </w:pPr>
          </w:p>
        </w:tc>
      </w:tr>
      <w:tr w:rsidR="00E47DDB" w:rsidRPr="0032367D" w14:paraId="28B7FD81" w14:textId="77777777" w:rsidTr="00EB37B9">
        <w:trPr>
          <w:trHeight w:val="863"/>
        </w:trPr>
        <w:tc>
          <w:tcPr>
            <w:tcW w:w="1523" w:type="dxa"/>
          </w:tcPr>
          <w:p w14:paraId="20FBB51B" w14:textId="77777777" w:rsidR="00E47DDB" w:rsidRPr="0032367D" w:rsidRDefault="00E47DDB" w:rsidP="00EB37B9">
            <w:pPr>
              <w:rPr>
                <w:rFonts w:ascii="Arial" w:hAnsi="Arial" w:cs="Arial"/>
                <w:sz w:val="20"/>
                <w:szCs w:val="20"/>
              </w:rPr>
            </w:pPr>
            <w:r w:rsidRPr="0032367D">
              <w:rPr>
                <w:rFonts w:ascii="Arial" w:hAnsi="Arial" w:cs="Arial"/>
                <w:sz w:val="20"/>
                <w:szCs w:val="20"/>
              </w:rPr>
              <w:t>Lymphocyte parameters</w:t>
            </w:r>
          </w:p>
        </w:tc>
        <w:tc>
          <w:tcPr>
            <w:tcW w:w="1966" w:type="dxa"/>
          </w:tcPr>
          <w:p w14:paraId="735F8EBE"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AS-LYMP %, #</w:t>
            </w:r>
          </w:p>
          <w:p w14:paraId="33F4093C"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RE-LYMP %, #</w:t>
            </w:r>
          </w:p>
          <w:p w14:paraId="3413002A"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US"/>
              </w:rPr>
              <w:t xml:space="preserve">(Antibody </w:t>
            </w:r>
            <w:proofErr w:type="spellStart"/>
            <w:r w:rsidRPr="0032367D">
              <w:rPr>
                <w:rFonts w:ascii="Arial" w:hAnsi="Arial" w:cs="Arial"/>
                <w:sz w:val="20"/>
                <w:szCs w:val="20"/>
                <w:lang w:val="en-US"/>
              </w:rPr>
              <w:t>synthesising</w:t>
            </w:r>
            <w:proofErr w:type="spellEnd"/>
            <w:r w:rsidRPr="0032367D">
              <w:rPr>
                <w:rFonts w:ascii="Arial" w:hAnsi="Arial" w:cs="Arial"/>
                <w:sz w:val="20"/>
                <w:szCs w:val="20"/>
                <w:lang w:val="en-US"/>
              </w:rPr>
              <w:t xml:space="preserve"> lymphocytes, Reactive lymphocytes)</w:t>
            </w:r>
          </w:p>
        </w:tc>
        <w:tc>
          <w:tcPr>
            <w:tcW w:w="2035" w:type="dxa"/>
          </w:tcPr>
          <w:p w14:paraId="57FA1C08" w14:textId="77777777" w:rsidR="00E47DDB" w:rsidRPr="0032367D" w:rsidRDefault="00E47DDB" w:rsidP="00EB37B9">
            <w:pPr>
              <w:rPr>
                <w:rFonts w:ascii="Arial" w:hAnsi="Arial" w:cs="Arial"/>
                <w:sz w:val="20"/>
                <w:szCs w:val="20"/>
                <w:lang w:val="en-US"/>
              </w:rPr>
            </w:pPr>
          </w:p>
        </w:tc>
        <w:tc>
          <w:tcPr>
            <w:tcW w:w="1842" w:type="dxa"/>
          </w:tcPr>
          <w:p w14:paraId="31123167" w14:textId="77777777" w:rsidR="00E47DDB" w:rsidRPr="0032367D" w:rsidRDefault="00E47DDB" w:rsidP="00EB37B9">
            <w:pPr>
              <w:rPr>
                <w:rFonts w:ascii="Arial" w:hAnsi="Arial" w:cs="Arial"/>
                <w:sz w:val="20"/>
                <w:szCs w:val="20"/>
                <w:lang w:val="en-ZA"/>
              </w:rPr>
            </w:pPr>
          </w:p>
        </w:tc>
        <w:tc>
          <w:tcPr>
            <w:tcW w:w="1985" w:type="dxa"/>
          </w:tcPr>
          <w:p w14:paraId="21FE15BC" w14:textId="77777777" w:rsidR="00E47DDB" w:rsidRPr="0032367D" w:rsidRDefault="00E47DDB" w:rsidP="00EB37B9">
            <w:pPr>
              <w:rPr>
                <w:rFonts w:ascii="Arial" w:hAnsi="Arial" w:cs="Arial"/>
                <w:bCs/>
                <w:sz w:val="20"/>
                <w:szCs w:val="20"/>
                <w:lang w:val="en-ZA"/>
              </w:rPr>
            </w:pPr>
            <w:r w:rsidRPr="0032367D">
              <w:rPr>
                <w:rFonts w:ascii="Arial" w:hAnsi="Arial" w:cs="Arial"/>
                <w:bCs/>
                <w:sz w:val="20"/>
                <w:szCs w:val="20"/>
                <w:lang w:val="en-ZA"/>
              </w:rPr>
              <w:t>IML %, IML #</w:t>
            </w:r>
          </w:p>
          <w:p w14:paraId="2B94948E"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ZA"/>
              </w:rPr>
              <w:t>ALY#, ALY%</w:t>
            </w:r>
          </w:p>
          <w:p w14:paraId="7E13DB75"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ZA"/>
              </w:rPr>
              <w:t>(Immature lymphocyte, atypical lymphocyte)</w:t>
            </w:r>
          </w:p>
        </w:tc>
        <w:tc>
          <w:tcPr>
            <w:tcW w:w="2126" w:type="dxa"/>
          </w:tcPr>
          <w:p w14:paraId="5AD70978"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HFC %, #</w:t>
            </w:r>
          </w:p>
          <w:p w14:paraId="06932514"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(high fluorescent cells e.g. atypical lymphocytes or blasts)</w:t>
            </w:r>
          </w:p>
        </w:tc>
        <w:tc>
          <w:tcPr>
            <w:tcW w:w="2552" w:type="dxa"/>
          </w:tcPr>
          <w:p w14:paraId="560213A1" w14:textId="77777777" w:rsidR="00E47DDB" w:rsidRPr="0032367D" w:rsidRDefault="00E47DDB" w:rsidP="00EB37B9">
            <w:pPr>
              <w:rPr>
                <w:rFonts w:ascii="Arial" w:hAnsi="Arial" w:cs="Arial"/>
                <w:sz w:val="20"/>
                <w:szCs w:val="20"/>
                <w:lang w:val="en-US"/>
              </w:rPr>
            </w:pPr>
          </w:p>
        </w:tc>
      </w:tr>
      <w:tr w:rsidR="00E47DDB" w:rsidRPr="0032367D" w14:paraId="138D8F87" w14:textId="77777777" w:rsidTr="00EB37B9">
        <w:trPr>
          <w:trHeight w:val="863"/>
        </w:trPr>
        <w:tc>
          <w:tcPr>
            <w:tcW w:w="1523" w:type="dxa"/>
          </w:tcPr>
          <w:p w14:paraId="3584F490" w14:textId="77777777" w:rsidR="00E47DDB" w:rsidRPr="0032367D" w:rsidRDefault="00E47DDB" w:rsidP="00EB37B9">
            <w:pPr>
              <w:rPr>
                <w:rFonts w:ascii="Arial" w:hAnsi="Arial" w:cs="Arial"/>
                <w:sz w:val="20"/>
                <w:szCs w:val="20"/>
              </w:rPr>
            </w:pPr>
            <w:r w:rsidRPr="0032367D">
              <w:rPr>
                <w:rFonts w:ascii="Arial" w:hAnsi="Arial" w:cs="Arial"/>
                <w:sz w:val="20"/>
                <w:szCs w:val="20"/>
              </w:rPr>
              <w:t>Monocyte parameters</w:t>
            </w:r>
          </w:p>
        </w:tc>
        <w:tc>
          <w:tcPr>
            <w:tcW w:w="1966" w:type="dxa"/>
          </w:tcPr>
          <w:p w14:paraId="48A702B7" w14:textId="77777777" w:rsidR="00E47DDB" w:rsidRPr="0032367D" w:rsidRDefault="00E47DDB" w:rsidP="00EB37B9">
            <w:pPr>
              <w:rPr>
                <w:rFonts w:ascii="Arial" w:hAnsi="Arial" w:cs="Arial"/>
                <w:i/>
                <w:iCs/>
                <w:color w:val="4472C4" w:themeColor="accent1"/>
                <w:sz w:val="20"/>
                <w:szCs w:val="20"/>
              </w:rPr>
            </w:pPr>
            <w:r w:rsidRPr="0032367D">
              <w:rPr>
                <w:rFonts w:ascii="Arial" w:hAnsi="Arial" w:cs="Arial"/>
                <w:i/>
                <w:iCs/>
                <w:color w:val="4472C4" w:themeColor="accent1"/>
                <w:sz w:val="20"/>
                <w:szCs w:val="20"/>
              </w:rPr>
              <w:t>Re-Mono</w:t>
            </w:r>
          </w:p>
          <w:p w14:paraId="4A200E7B" w14:textId="77777777" w:rsidR="00E47DDB" w:rsidRPr="0032367D" w:rsidRDefault="00E47DDB" w:rsidP="00EB37B9">
            <w:pPr>
              <w:rPr>
                <w:rFonts w:ascii="Arial" w:hAnsi="Arial" w:cs="Arial"/>
                <w:i/>
                <w:iCs/>
                <w:sz w:val="20"/>
                <w:szCs w:val="20"/>
              </w:rPr>
            </w:pPr>
            <w:r w:rsidRPr="0032367D">
              <w:rPr>
                <w:rFonts w:ascii="Arial" w:hAnsi="Arial" w:cs="Arial"/>
                <w:i/>
                <w:iCs/>
                <w:color w:val="4472C4" w:themeColor="accent1"/>
                <w:sz w:val="20"/>
                <w:szCs w:val="20"/>
              </w:rPr>
              <w:t>(Reactive monocytes)</w:t>
            </w:r>
          </w:p>
        </w:tc>
        <w:tc>
          <w:tcPr>
            <w:tcW w:w="2035" w:type="dxa"/>
          </w:tcPr>
          <w:p w14:paraId="4AD86305" w14:textId="77777777" w:rsidR="00E47DDB" w:rsidRPr="0032367D" w:rsidRDefault="00E47DDB" w:rsidP="00EB37B9">
            <w:pPr>
              <w:rPr>
                <w:rFonts w:ascii="Arial" w:hAnsi="Arial" w:cs="Arial"/>
                <w:sz w:val="20"/>
                <w:szCs w:val="20"/>
                <w:lang w:val="en-US"/>
              </w:rPr>
            </w:pPr>
          </w:p>
        </w:tc>
        <w:tc>
          <w:tcPr>
            <w:tcW w:w="1842" w:type="dxa"/>
          </w:tcPr>
          <w:p w14:paraId="6A5B8497"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MDW (</w:t>
            </w:r>
            <w:proofErr w:type="spellStart"/>
            <w:r w:rsidRPr="0032367D">
              <w:rPr>
                <w:rFonts w:ascii="Arial" w:hAnsi="Arial" w:cs="Arial"/>
                <w:sz w:val="20"/>
                <w:szCs w:val="20"/>
                <w:lang w:val="en-US"/>
              </w:rPr>
              <w:t>ESId</w:t>
            </w:r>
            <w:proofErr w:type="spellEnd"/>
            <w:r w:rsidRPr="0032367D">
              <w:rPr>
                <w:rFonts w:ascii="Arial" w:hAnsi="Arial" w:cs="Arial"/>
                <w:sz w:val="20"/>
                <w:szCs w:val="20"/>
                <w:lang w:val="en-US"/>
              </w:rPr>
              <w:t>)</w:t>
            </w:r>
          </w:p>
          <w:p w14:paraId="53FA8386" w14:textId="77777777" w:rsidR="00E47DDB" w:rsidRPr="0032367D" w:rsidRDefault="00E47DDB" w:rsidP="00EB37B9">
            <w:pPr>
              <w:rPr>
                <w:rFonts w:ascii="Arial" w:hAnsi="Arial" w:cs="Arial"/>
                <w:sz w:val="20"/>
                <w:szCs w:val="20"/>
                <w:lang w:val="en-ZA"/>
              </w:rPr>
            </w:pPr>
            <w:r w:rsidRPr="0032367D">
              <w:rPr>
                <w:rFonts w:ascii="Arial" w:hAnsi="Arial" w:cs="Arial"/>
                <w:sz w:val="20"/>
                <w:szCs w:val="20"/>
                <w:lang w:val="en-ZA"/>
              </w:rPr>
              <w:t>(Monocyte distribution width/Early sepsis indicator)</w:t>
            </w:r>
          </w:p>
        </w:tc>
        <w:tc>
          <w:tcPr>
            <w:tcW w:w="1985" w:type="dxa"/>
          </w:tcPr>
          <w:p w14:paraId="4C949062" w14:textId="77777777" w:rsidR="00E47DDB" w:rsidRPr="0032367D" w:rsidRDefault="00E47DDB" w:rsidP="00EB37B9">
            <w:pPr>
              <w:rPr>
                <w:rFonts w:ascii="Arial" w:hAnsi="Arial" w:cs="Arial"/>
                <w:sz w:val="20"/>
                <w:szCs w:val="20"/>
              </w:rPr>
            </w:pPr>
            <w:r w:rsidRPr="0032367D">
              <w:rPr>
                <w:rFonts w:ascii="Arial" w:hAnsi="Arial" w:cs="Arial"/>
                <w:bCs/>
                <w:sz w:val="20"/>
                <w:szCs w:val="20"/>
              </w:rPr>
              <w:t>IMM %, IMM #</w:t>
            </w:r>
          </w:p>
          <w:p w14:paraId="7A73DE3C" w14:textId="77777777" w:rsidR="00E47DDB" w:rsidRPr="0032367D" w:rsidRDefault="00E47DDB" w:rsidP="00EB37B9">
            <w:pPr>
              <w:rPr>
                <w:rFonts w:ascii="Arial" w:hAnsi="Arial" w:cs="Arial"/>
                <w:sz w:val="20"/>
                <w:szCs w:val="20"/>
              </w:rPr>
            </w:pPr>
            <w:r w:rsidRPr="0032367D">
              <w:rPr>
                <w:rFonts w:ascii="Arial" w:hAnsi="Arial" w:cs="Arial"/>
                <w:sz w:val="20"/>
                <w:szCs w:val="20"/>
              </w:rPr>
              <w:t>(Immature monocyte)</w:t>
            </w:r>
          </w:p>
        </w:tc>
        <w:tc>
          <w:tcPr>
            <w:tcW w:w="2126" w:type="dxa"/>
          </w:tcPr>
          <w:p w14:paraId="4A218D72" w14:textId="77777777" w:rsidR="00E47DDB" w:rsidRPr="0032367D" w:rsidRDefault="00E47DDB" w:rsidP="00EB37B9">
            <w:pPr>
              <w:rPr>
                <w:rFonts w:ascii="Arial" w:hAnsi="Arial" w:cs="Arial"/>
                <w:sz w:val="20"/>
                <w:szCs w:val="20"/>
                <w:lang w:val="en-US"/>
              </w:rPr>
            </w:pPr>
          </w:p>
        </w:tc>
        <w:tc>
          <w:tcPr>
            <w:tcW w:w="2552" w:type="dxa"/>
          </w:tcPr>
          <w:p w14:paraId="043C2CC1" w14:textId="77777777" w:rsidR="00E47DDB" w:rsidRPr="0032367D" w:rsidRDefault="00E47DDB" w:rsidP="00EB37B9">
            <w:pPr>
              <w:rPr>
                <w:rFonts w:ascii="Arial" w:hAnsi="Arial" w:cs="Arial"/>
                <w:sz w:val="20"/>
                <w:szCs w:val="20"/>
                <w:lang w:val="en-US"/>
              </w:rPr>
            </w:pPr>
          </w:p>
        </w:tc>
      </w:tr>
      <w:tr w:rsidR="00E47DDB" w:rsidRPr="0032367D" w14:paraId="2C1FC153" w14:textId="77777777" w:rsidTr="00EB37B9">
        <w:trPr>
          <w:trHeight w:val="982"/>
        </w:trPr>
        <w:tc>
          <w:tcPr>
            <w:tcW w:w="1523" w:type="dxa"/>
          </w:tcPr>
          <w:p w14:paraId="38C7F659" w14:textId="77777777" w:rsidR="00E47DDB" w:rsidRPr="0032367D" w:rsidRDefault="00E47DDB" w:rsidP="00EB37B9">
            <w:pPr>
              <w:rPr>
                <w:rFonts w:ascii="Arial" w:hAnsi="Arial" w:cs="Arial"/>
                <w:sz w:val="20"/>
                <w:szCs w:val="20"/>
              </w:rPr>
            </w:pPr>
            <w:r w:rsidRPr="0032367D">
              <w:rPr>
                <w:rFonts w:ascii="Arial" w:hAnsi="Arial" w:cs="Arial"/>
                <w:sz w:val="20"/>
                <w:szCs w:val="20"/>
              </w:rPr>
              <w:t>Other WBC parameters</w:t>
            </w:r>
          </w:p>
        </w:tc>
        <w:tc>
          <w:tcPr>
            <w:tcW w:w="1966" w:type="dxa"/>
          </w:tcPr>
          <w:p w14:paraId="6A429909" w14:textId="77777777" w:rsidR="00E47DDB" w:rsidRPr="0032367D" w:rsidRDefault="00E47DDB" w:rsidP="00EB37B9">
            <w:pPr>
              <w:rPr>
                <w:rFonts w:ascii="Arial" w:hAnsi="Arial" w:cs="Arial"/>
                <w:sz w:val="20"/>
                <w:szCs w:val="20"/>
              </w:rPr>
            </w:pPr>
          </w:p>
        </w:tc>
        <w:tc>
          <w:tcPr>
            <w:tcW w:w="2035" w:type="dxa"/>
          </w:tcPr>
          <w:p w14:paraId="17F5CCE8" w14:textId="77777777" w:rsidR="00E47DDB" w:rsidRPr="0032367D" w:rsidRDefault="00E47DDB" w:rsidP="00EB37B9">
            <w:pPr>
              <w:rPr>
                <w:rFonts w:ascii="Arial" w:hAnsi="Arial" w:cs="Arial"/>
                <w:sz w:val="20"/>
                <w:szCs w:val="20"/>
                <w:lang w:val="en-US"/>
              </w:rPr>
            </w:pPr>
          </w:p>
        </w:tc>
        <w:tc>
          <w:tcPr>
            <w:tcW w:w="1842" w:type="dxa"/>
          </w:tcPr>
          <w:p w14:paraId="4BC2A391" w14:textId="77777777" w:rsidR="00E47DDB" w:rsidRPr="0032367D" w:rsidRDefault="00E47DDB" w:rsidP="00EB37B9">
            <w:pPr>
              <w:rPr>
                <w:rFonts w:ascii="Arial" w:hAnsi="Arial" w:cs="Arial"/>
                <w:sz w:val="20"/>
                <w:szCs w:val="20"/>
                <w:lang w:val="en-ZA"/>
              </w:rPr>
            </w:pPr>
          </w:p>
        </w:tc>
        <w:tc>
          <w:tcPr>
            <w:tcW w:w="1985" w:type="dxa"/>
          </w:tcPr>
          <w:p w14:paraId="0509CFDD" w14:textId="77777777" w:rsidR="00E47DDB" w:rsidRPr="0032367D" w:rsidRDefault="00E47DDB" w:rsidP="00EB37B9">
            <w:pPr>
              <w:rPr>
                <w:rFonts w:ascii="Arial" w:hAnsi="Arial" w:cs="Arial"/>
                <w:sz w:val="20"/>
                <w:szCs w:val="20"/>
              </w:rPr>
            </w:pPr>
            <w:r w:rsidRPr="0032367D">
              <w:rPr>
                <w:rFonts w:ascii="Arial" w:hAnsi="Arial" w:cs="Arial"/>
                <w:sz w:val="20"/>
                <w:szCs w:val="20"/>
              </w:rPr>
              <w:t>LIC %, #</w:t>
            </w:r>
          </w:p>
          <w:p w14:paraId="6478111F" w14:textId="77777777" w:rsidR="00E47DDB" w:rsidRPr="0032367D" w:rsidRDefault="00E47DDB" w:rsidP="00EB37B9">
            <w:pPr>
              <w:rPr>
                <w:rFonts w:ascii="Arial" w:hAnsi="Arial" w:cs="Arial"/>
                <w:sz w:val="20"/>
                <w:szCs w:val="20"/>
              </w:rPr>
            </w:pPr>
            <w:r w:rsidRPr="0032367D">
              <w:rPr>
                <w:rFonts w:ascii="Arial" w:hAnsi="Arial" w:cs="Arial"/>
                <w:sz w:val="20"/>
                <w:szCs w:val="20"/>
              </w:rPr>
              <w:t>(Large immature cells)</w:t>
            </w:r>
          </w:p>
        </w:tc>
        <w:tc>
          <w:tcPr>
            <w:tcW w:w="2126" w:type="dxa"/>
          </w:tcPr>
          <w:p w14:paraId="6D35C92C" w14:textId="77777777" w:rsidR="00E47DDB" w:rsidRPr="0032367D" w:rsidRDefault="00E47DDB" w:rsidP="00EB37B9">
            <w:pPr>
              <w:rPr>
                <w:rFonts w:ascii="Arial" w:hAnsi="Arial" w:cs="Arial"/>
                <w:sz w:val="20"/>
                <w:szCs w:val="20"/>
                <w:lang w:val="en-US"/>
              </w:rPr>
            </w:pPr>
          </w:p>
        </w:tc>
        <w:tc>
          <w:tcPr>
            <w:tcW w:w="2552" w:type="dxa"/>
          </w:tcPr>
          <w:p w14:paraId="437380F0" w14:textId="77777777" w:rsidR="00E47DDB" w:rsidRPr="0032367D" w:rsidRDefault="00E47DDB" w:rsidP="00EB37B9">
            <w:pPr>
              <w:rPr>
                <w:rFonts w:ascii="Arial" w:hAnsi="Arial" w:cs="Arial"/>
                <w:sz w:val="20"/>
                <w:szCs w:val="20"/>
                <w:lang w:val="en-US"/>
              </w:rPr>
            </w:pPr>
            <w:r w:rsidRPr="0032367D">
              <w:rPr>
                <w:rFonts w:ascii="Arial" w:hAnsi="Arial" w:cs="Arial"/>
                <w:sz w:val="20"/>
                <w:szCs w:val="20"/>
                <w:lang w:val="en-US"/>
              </w:rPr>
              <w:t xml:space="preserve">LUC </w:t>
            </w:r>
          </w:p>
          <w:p w14:paraId="41265D04" w14:textId="77777777" w:rsidR="00E47DDB" w:rsidRDefault="00E47DDB" w:rsidP="00EB37B9">
            <w:pPr>
              <w:rPr>
                <w:rFonts w:ascii="Arial" w:hAnsi="Arial" w:cs="Arial"/>
                <w:sz w:val="20"/>
                <w:szCs w:val="20"/>
                <w:lang w:val="en-US"/>
              </w:rPr>
            </w:pPr>
            <w:r w:rsidRPr="0032367D">
              <w:rPr>
                <w:rFonts w:ascii="Arial" w:hAnsi="Arial" w:cs="Arial"/>
                <w:sz w:val="20"/>
                <w:szCs w:val="20"/>
                <w:lang w:val="en-US"/>
              </w:rPr>
              <w:t>(Large Unstained Cells)</w:t>
            </w:r>
          </w:p>
          <w:p w14:paraId="77CB3685" w14:textId="77777777" w:rsidR="00E47DDB" w:rsidRDefault="00E47DDB" w:rsidP="00EB37B9">
            <w:pPr>
              <w:rPr>
                <w:rFonts w:ascii="Arial" w:hAnsi="Arial" w:cs="Arial"/>
                <w:sz w:val="20"/>
                <w:szCs w:val="20"/>
                <w:lang w:val="en-US"/>
              </w:rPr>
            </w:pPr>
          </w:p>
          <w:p w14:paraId="49F784E0" w14:textId="77777777" w:rsidR="00E47DDB" w:rsidRDefault="00E47DDB" w:rsidP="00EB37B9">
            <w:pPr>
              <w:rPr>
                <w:rFonts w:ascii="Arial" w:hAnsi="Arial" w:cs="Arial"/>
                <w:sz w:val="20"/>
                <w:szCs w:val="20"/>
                <w:lang w:val="en-US"/>
              </w:rPr>
            </w:pPr>
          </w:p>
          <w:p w14:paraId="37B16941" w14:textId="77777777" w:rsidR="00E47DDB" w:rsidRPr="0032367D" w:rsidRDefault="00E47DDB" w:rsidP="00EB37B9">
            <w:pPr>
              <w:rPr>
                <w:rFonts w:ascii="Arial" w:hAnsi="Arial" w:cs="Arial"/>
                <w:sz w:val="20"/>
                <w:szCs w:val="20"/>
                <w:lang w:val="en-US"/>
              </w:rPr>
            </w:pPr>
          </w:p>
        </w:tc>
      </w:tr>
    </w:tbl>
    <w:p w14:paraId="474E0AD8" w14:textId="77777777" w:rsidR="00E47DDB" w:rsidRDefault="00E47DDB"/>
    <w:p w14:paraId="17F50EE6" w14:textId="59485768" w:rsidR="00235950" w:rsidRPr="00712D88" w:rsidRDefault="00E47DDB">
      <w:pPr>
        <w:rPr>
          <w:b/>
          <w:bCs/>
        </w:rPr>
      </w:pPr>
      <w:bookmarkStart w:id="0" w:name="_GoBack"/>
      <w:r w:rsidRPr="00712D88">
        <w:rPr>
          <w:b/>
          <w:bCs/>
        </w:rPr>
        <w:lastRenderedPageBreak/>
        <w:t>Table S2 continued.</w:t>
      </w:r>
    </w:p>
    <w:bookmarkEnd w:id="0"/>
    <w:tbl>
      <w:tblPr>
        <w:tblStyle w:val="TableGrid"/>
        <w:tblW w:w="14029" w:type="dxa"/>
        <w:tblLook w:val="04A0" w:firstRow="1" w:lastRow="0" w:firstColumn="1" w:lastColumn="0" w:noHBand="0" w:noVBand="1"/>
      </w:tblPr>
      <w:tblGrid>
        <w:gridCol w:w="1523"/>
        <w:gridCol w:w="1966"/>
        <w:gridCol w:w="2035"/>
        <w:gridCol w:w="1842"/>
        <w:gridCol w:w="1985"/>
        <w:gridCol w:w="2126"/>
        <w:gridCol w:w="2552"/>
      </w:tblGrid>
      <w:tr w:rsidR="00E47DDB" w:rsidRPr="008A1667" w14:paraId="001D9EA6" w14:textId="77777777" w:rsidTr="00EB37B9">
        <w:tc>
          <w:tcPr>
            <w:tcW w:w="1523" w:type="dxa"/>
          </w:tcPr>
          <w:p w14:paraId="67A5F08A" w14:textId="77777777" w:rsidR="00E47DDB" w:rsidRPr="004B3566" w:rsidRDefault="00E47DDB" w:rsidP="00EB37B9">
            <w:pPr>
              <w:rPr>
                <w:rFonts w:ascii="Arial" w:hAnsi="Arial" w:cs="Arial"/>
                <w:sz w:val="20"/>
                <w:szCs w:val="20"/>
              </w:rPr>
            </w:pPr>
            <w:r>
              <w:br w:type="page"/>
            </w:r>
            <w:r w:rsidRPr="004B3566">
              <w:rPr>
                <w:rFonts w:ascii="Arial" w:hAnsi="Arial" w:cs="Arial"/>
                <w:sz w:val="20"/>
                <w:szCs w:val="20"/>
              </w:rPr>
              <w:t>Company</w:t>
            </w:r>
          </w:p>
        </w:tc>
        <w:tc>
          <w:tcPr>
            <w:tcW w:w="1966" w:type="dxa"/>
          </w:tcPr>
          <w:p w14:paraId="6409DE55" w14:textId="77777777" w:rsidR="00E47DDB" w:rsidRPr="004B3566" w:rsidRDefault="00E47DDB" w:rsidP="00EB37B9">
            <w:pPr>
              <w:rPr>
                <w:rFonts w:ascii="Arial" w:hAnsi="Arial" w:cs="Arial"/>
                <w:sz w:val="20"/>
                <w:szCs w:val="20"/>
              </w:rPr>
            </w:pPr>
            <w:r w:rsidRPr="004B3566">
              <w:rPr>
                <w:rFonts w:ascii="Arial" w:hAnsi="Arial" w:cs="Arial"/>
                <w:sz w:val="20"/>
                <w:szCs w:val="20"/>
                <w:lang w:eastAsia="de-DE"/>
              </w:rPr>
              <w:t>Sysmex</w:t>
            </w:r>
            <w:r w:rsidRPr="004B3566">
              <w:rPr>
                <w:rFonts w:ascii="Arial" w:hAnsi="Arial" w:cs="Arial"/>
                <w:sz w:val="20"/>
                <w:szCs w:val="20"/>
              </w:rPr>
              <w:t xml:space="preserve"> </w:t>
            </w:r>
          </w:p>
        </w:tc>
        <w:tc>
          <w:tcPr>
            <w:tcW w:w="2035" w:type="dxa"/>
          </w:tcPr>
          <w:p w14:paraId="69A35AE9" w14:textId="77777777" w:rsidR="00E47DDB" w:rsidRPr="004B3566" w:rsidRDefault="00E47DDB" w:rsidP="00EB37B9">
            <w:pPr>
              <w:rPr>
                <w:rFonts w:ascii="Arial" w:hAnsi="Arial" w:cs="Arial"/>
                <w:sz w:val="20"/>
                <w:szCs w:val="20"/>
                <w:lang w:val="en-US"/>
              </w:rPr>
            </w:pPr>
            <w:r w:rsidRPr="004B3566">
              <w:rPr>
                <w:rFonts w:ascii="Arial" w:hAnsi="Arial" w:cs="Arial"/>
                <w:sz w:val="20"/>
                <w:szCs w:val="20"/>
              </w:rPr>
              <w:t>Abbott</w:t>
            </w:r>
          </w:p>
        </w:tc>
        <w:tc>
          <w:tcPr>
            <w:tcW w:w="1842" w:type="dxa"/>
          </w:tcPr>
          <w:p w14:paraId="3AE39C66" w14:textId="77777777" w:rsidR="00E47DDB" w:rsidRPr="004B3566" w:rsidRDefault="00E47DDB" w:rsidP="00EB37B9">
            <w:pPr>
              <w:rPr>
                <w:rFonts w:ascii="Arial" w:hAnsi="Arial" w:cs="Arial"/>
                <w:sz w:val="20"/>
                <w:szCs w:val="20"/>
                <w:lang w:val="en-US"/>
              </w:rPr>
            </w:pPr>
            <w:r w:rsidRPr="004B3566">
              <w:rPr>
                <w:rFonts w:ascii="Arial" w:hAnsi="Arial" w:cs="Arial"/>
                <w:sz w:val="20"/>
                <w:szCs w:val="20"/>
              </w:rPr>
              <w:t>Beckman Coulter</w:t>
            </w:r>
          </w:p>
        </w:tc>
        <w:tc>
          <w:tcPr>
            <w:tcW w:w="1985" w:type="dxa"/>
          </w:tcPr>
          <w:p w14:paraId="48F3C348" w14:textId="77777777" w:rsidR="00E47DDB" w:rsidRPr="004B3566" w:rsidRDefault="00E47DDB" w:rsidP="00EB37B9">
            <w:pPr>
              <w:autoSpaceDE w:val="0"/>
              <w:autoSpaceDN w:val="0"/>
              <w:adjustRightInd w:val="0"/>
              <w:rPr>
                <w:rFonts w:ascii="Arial" w:hAnsi="Arial" w:cs="Arial"/>
                <w:color w:val="231F20"/>
                <w:sz w:val="20"/>
                <w:szCs w:val="20"/>
                <w:lang w:val="en-US"/>
              </w:rPr>
            </w:pPr>
            <w:r w:rsidRPr="004B3566">
              <w:rPr>
                <w:rFonts w:ascii="Arial" w:hAnsi="Arial" w:cs="Arial"/>
                <w:sz w:val="20"/>
                <w:szCs w:val="20"/>
                <w:lang w:eastAsia="de-DE"/>
              </w:rPr>
              <w:t>Horiba</w:t>
            </w:r>
          </w:p>
        </w:tc>
        <w:tc>
          <w:tcPr>
            <w:tcW w:w="2126" w:type="dxa"/>
          </w:tcPr>
          <w:p w14:paraId="4A976CE9" w14:textId="77777777" w:rsidR="00E47DDB" w:rsidRPr="004B3566" w:rsidRDefault="00E47DDB" w:rsidP="00EB37B9">
            <w:pPr>
              <w:autoSpaceDE w:val="0"/>
              <w:autoSpaceDN w:val="0"/>
              <w:adjustRightInd w:val="0"/>
              <w:rPr>
                <w:rFonts w:ascii="Arial" w:hAnsi="Arial" w:cs="Arial"/>
                <w:color w:val="172A2D"/>
                <w:sz w:val="20"/>
                <w:szCs w:val="20"/>
                <w:lang w:val="en-US"/>
              </w:rPr>
            </w:pPr>
            <w:r w:rsidRPr="004B3566">
              <w:rPr>
                <w:rFonts w:ascii="Arial" w:hAnsi="Arial" w:cs="Arial"/>
                <w:sz w:val="20"/>
                <w:szCs w:val="20"/>
                <w:lang w:eastAsia="de-DE"/>
              </w:rPr>
              <w:t>Mindray</w:t>
            </w:r>
          </w:p>
        </w:tc>
        <w:tc>
          <w:tcPr>
            <w:tcW w:w="2552" w:type="dxa"/>
          </w:tcPr>
          <w:p w14:paraId="2E39F2A0" w14:textId="77777777" w:rsidR="00E47DDB" w:rsidRPr="004B3566" w:rsidRDefault="00E47DDB" w:rsidP="00EB37B9">
            <w:pPr>
              <w:autoSpaceDE w:val="0"/>
              <w:autoSpaceDN w:val="0"/>
              <w:adjustRightInd w:val="0"/>
              <w:rPr>
                <w:rFonts w:ascii="Arial" w:hAnsi="Arial" w:cs="Arial"/>
                <w:sz w:val="20"/>
                <w:szCs w:val="20"/>
              </w:rPr>
            </w:pPr>
            <w:r w:rsidRPr="004B3566">
              <w:rPr>
                <w:rFonts w:ascii="Arial" w:hAnsi="Arial" w:cs="Arial"/>
                <w:sz w:val="20"/>
                <w:szCs w:val="20"/>
                <w:lang w:eastAsia="de-DE"/>
              </w:rPr>
              <w:t xml:space="preserve">Siemens </w:t>
            </w:r>
            <w:proofErr w:type="spellStart"/>
            <w:r w:rsidRPr="004B3566">
              <w:rPr>
                <w:rFonts w:ascii="Arial" w:hAnsi="Arial" w:cs="Arial"/>
                <w:sz w:val="20"/>
                <w:szCs w:val="20"/>
                <w:lang w:eastAsia="de-DE"/>
              </w:rPr>
              <w:t>Healthineers</w:t>
            </w:r>
            <w:proofErr w:type="spellEnd"/>
          </w:p>
        </w:tc>
      </w:tr>
      <w:tr w:rsidR="00E47DDB" w:rsidRPr="008A1667" w14:paraId="61BE2883" w14:textId="77777777" w:rsidTr="00EB37B9">
        <w:tc>
          <w:tcPr>
            <w:tcW w:w="14029" w:type="dxa"/>
            <w:gridSpan w:val="7"/>
          </w:tcPr>
          <w:p w14:paraId="0B5BF477" w14:textId="77777777" w:rsidR="00E47DDB" w:rsidRPr="004B3566" w:rsidRDefault="00E47DDB" w:rsidP="00EB37B9">
            <w:pPr>
              <w:autoSpaceDE w:val="0"/>
              <w:autoSpaceDN w:val="0"/>
              <w:adjustRightInd w:val="0"/>
              <w:rPr>
                <w:rFonts w:ascii="Arial" w:hAnsi="Arial" w:cs="Arial"/>
                <w:sz w:val="20"/>
                <w:szCs w:val="20"/>
              </w:rPr>
            </w:pPr>
            <w:r w:rsidRPr="004B3566">
              <w:rPr>
                <w:rFonts w:ascii="Arial" w:hAnsi="Arial" w:cs="Arial"/>
                <w:sz w:val="20"/>
                <w:szCs w:val="20"/>
              </w:rPr>
              <w:t>Red blood cell parameters</w:t>
            </w:r>
          </w:p>
        </w:tc>
      </w:tr>
      <w:tr w:rsidR="00E47DDB" w:rsidRPr="008A1667" w14:paraId="11644267" w14:textId="77777777" w:rsidTr="00EB37B9">
        <w:tc>
          <w:tcPr>
            <w:tcW w:w="1523" w:type="dxa"/>
          </w:tcPr>
          <w:p w14:paraId="5725030B" w14:textId="77777777" w:rsidR="00E47DDB" w:rsidRPr="004B3566" w:rsidRDefault="00E47DDB" w:rsidP="00EB37B9">
            <w:pPr>
              <w:rPr>
                <w:rFonts w:ascii="Arial" w:hAnsi="Arial" w:cs="Arial"/>
                <w:sz w:val="20"/>
                <w:szCs w:val="20"/>
              </w:rPr>
            </w:pPr>
            <w:r w:rsidRPr="004B3566">
              <w:rPr>
                <w:rFonts w:ascii="Arial" w:hAnsi="Arial" w:cs="Arial"/>
                <w:sz w:val="20"/>
                <w:szCs w:val="20"/>
              </w:rPr>
              <w:t>Reticulocyte haemoglobin</w:t>
            </w:r>
          </w:p>
          <w:p w14:paraId="41F2A945" w14:textId="77777777" w:rsidR="00E47DDB" w:rsidRPr="004B3566" w:rsidRDefault="00E47DDB" w:rsidP="00EB37B9">
            <w:pPr>
              <w:rPr>
                <w:rFonts w:ascii="Arial" w:hAnsi="Arial" w:cs="Arial"/>
                <w:sz w:val="20"/>
                <w:szCs w:val="20"/>
              </w:rPr>
            </w:pPr>
          </w:p>
          <w:p w14:paraId="1554819A" w14:textId="77777777" w:rsidR="00E47DDB" w:rsidRPr="004B3566" w:rsidRDefault="00E47DDB" w:rsidP="00EB37B9">
            <w:pPr>
              <w:rPr>
                <w:rFonts w:ascii="Arial" w:hAnsi="Arial" w:cs="Arial"/>
                <w:sz w:val="20"/>
                <w:szCs w:val="20"/>
              </w:rPr>
            </w:pPr>
          </w:p>
          <w:p w14:paraId="65FCBA00" w14:textId="77777777" w:rsidR="00E47DDB" w:rsidRPr="004B3566" w:rsidRDefault="00E47DDB" w:rsidP="00EB37B9">
            <w:pPr>
              <w:rPr>
                <w:rFonts w:ascii="Arial" w:hAnsi="Arial" w:cs="Arial"/>
                <w:sz w:val="20"/>
                <w:szCs w:val="20"/>
              </w:rPr>
            </w:pPr>
          </w:p>
          <w:p w14:paraId="2B786FA9" w14:textId="77777777" w:rsidR="00E47DDB" w:rsidRPr="004B3566" w:rsidRDefault="00E47DDB" w:rsidP="00EB37B9">
            <w:pPr>
              <w:rPr>
                <w:rFonts w:ascii="Arial" w:hAnsi="Arial" w:cs="Arial"/>
                <w:sz w:val="20"/>
                <w:szCs w:val="20"/>
              </w:rPr>
            </w:pPr>
          </w:p>
          <w:p w14:paraId="4660822E" w14:textId="77777777" w:rsidR="00E47DDB" w:rsidRPr="004B3566" w:rsidRDefault="00E47DDB" w:rsidP="00EB37B9">
            <w:pPr>
              <w:rPr>
                <w:rFonts w:ascii="Arial" w:hAnsi="Arial" w:cs="Arial"/>
                <w:sz w:val="20"/>
                <w:szCs w:val="20"/>
              </w:rPr>
            </w:pPr>
          </w:p>
        </w:tc>
        <w:tc>
          <w:tcPr>
            <w:tcW w:w="1966" w:type="dxa"/>
          </w:tcPr>
          <w:p w14:paraId="7F6F0C1A" w14:textId="77777777" w:rsidR="00E47DDB" w:rsidRPr="004B3566" w:rsidRDefault="00E47DDB" w:rsidP="00EB37B9">
            <w:pPr>
              <w:rPr>
                <w:rFonts w:ascii="Arial" w:hAnsi="Arial" w:cs="Arial"/>
                <w:i/>
                <w:sz w:val="20"/>
                <w:szCs w:val="20"/>
                <w:vertAlign w:val="subscript"/>
                <w:lang w:val="en-ZA"/>
              </w:rPr>
            </w:pPr>
            <w:r w:rsidRPr="004B3566">
              <w:rPr>
                <w:rFonts w:ascii="Arial" w:hAnsi="Arial" w:cs="Arial"/>
                <w:sz w:val="20"/>
                <w:szCs w:val="20"/>
                <w:lang w:val="en-ZA"/>
              </w:rPr>
              <w:t>RET-He</w:t>
            </w:r>
          </w:p>
          <w:p w14:paraId="62304924" w14:textId="77777777" w:rsidR="00E47DDB" w:rsidRPr="004B3566" w:rsidRDefault="00E47DDB" w:rsidP="00EB37B9">
            <w:pPr>
              <w:rPr>
                <w:rFonts w:ascii="Arial" w:hAnsi="Arial" w:cs="Arial"/>
                <w:iCs/>
                <w:sz w:val="20"/>
                <w:szCs w:val="20"/>
                <w:lang w:val="en-ZA"/>
              </w:rPr>
            </w:pPr>
            <w:r w:rsidRPr="004B3566">
              <w:rPr>
                <w:rFonts w:ascii="Arial" w:hAnsi="Arial" w:cs="Arial"/>
                <w:sz w:val="20"/>
                <w:szCs w:val="20"/>
                <w:lang w:val="en-ZA"/>
              </w:rPr>
              <w:t>(reticulocyte haemoglobin equivalent)</w:t>
            </w:r>
          </w:p>
          <w:p w14:paraId="7172C21E" w14:textId="77777777" w:rsidR="00E47DDB" w:rsidRPr="004B3566" w:rsidRDefault="00E47DDB" w:rsidP="00EB37B9">
            <w:pPr>
              <w:rPr>
                <w:rFonts w:ascii="Arial" w:hAnsi="Arial" w:cs="Arial"/>
                <w:iCs/>
                <w:sz w:val="20"/>
                <w:szCs w:val="20"/>
                <w:lang w:val="en-ZA"/>
              </w:rPr>
            </w:pPr>
          </w:p>
        </w:tc>
        <w:tc>
          <w:tcPr>
            <w:tcW w:w="2035" w:type="dxa"/>
          </w:tcPr>
          <w:p w14:paraId="5A8DE325" w14:textId="77777777" w:rsidR="00E47DDB" w:rsidRPr="004B3566" w:rsidRDefault="00E47DDB" w:rsidP="00EB37B9">
            <w:pPr>
              <w:rPr>
                <w:rFonts w:ascii="Arial" w:hAnsi="Arial" w:cs="Arial"/>
                <w:sz w:val="20"/>
                <w:szCs w:val="20"/>
                <w:lang w:val="en-US"/>
              </w:rPr>
            </w:pPr>
            <w:proofErr w:type="spellStart"/>
            <w:r w:rsidRPr="004B3566">
              <w:rPr>
                <w:rFonts w:ascii="Arial" w:hAnsi="Arial" w:cs="Arial"/>
                <w:sz w:val="20"/>
                <w:szCs w:val="20"/>
                <w:lang w:val="en-US"/>
              </w:rPr>
              <w:t>MCVr</w:t>
            </w:r>
            <w:proofErr w:type="spellEnd"/>
            <w:r w:rsidRPr="004B3566">
              <w:rPr>
                <w:rFonts w:ascii="Arial" w:hAnsi="Arial" w:cs="Arial"/>
                <w:sz w:val="20"/>
                <w:szCs w:val="20"/>
                <w:lang w:val="en-US"/>
              </w:rPr>
              <w:t xml:space="preserve"> (Mean cellular volume of reticulocytes)</w:t>
            </w:r>
          </w:p>
          <w:p w14:paraId="104FF22A" w14:textId="77777777" w:rsidR="00E47DDB" w:rsidRPr="004B3566" w:rsidRDefault="00E47DDB" w:rsidP="00EB37B9">
            <w:pPr>
              <w:rPr>
                <w:rFonts w:ascii="Arial" w:hAnsi="Arial" w:cs="Arial"/>
                <w:i/>
                <w:iCs/>
                <w:color w:val="8EAADB" w:themeColor="accent1" w:themeTint="99"/>
                <w:sz w:val="20"/>
                <w:szCs w:val="20"/>
                <w:lang w:val="en-US"/>
              </w:rPr>
            </w:pPr>
            <w:proofErr w:type="spellStart"/>
            <w:r w:rsidRPr="004B3566">
              <w:rPr>
                <w:rFonts w:ascii="Arial" w:hAnsi="Arial" w:cs="Arial"/>
                <w:i/>
                <w:iCs/>
                <w:color w:val="8EAADB" w:themeColor="accent1" w:themeTint="99"/>
                <w:sz w:val="20"/>
                <w:szCs w:val="20"/>
                <w:lang w:val="en-US"/>
              </w:rPr>
              <w:t>MCHr</w:t>
            </w:r>
            <w:proofErr w:type="spellEnd"/>
            <w:r w:rsidRPr="004B3566">
              <w:rPr>
                <w:rFonts w:ascii="Arial" w:hAnsi="Arial" w:cs="Arial"/>
                <w:i/>
                <w:iCs/>
                <w:color w:val="8EAADB" w:themeColor="accent1" w:themeTint="99"/>
                <w:sz w:val="20"/>
                <w:szCs w:val="20"/>
                <w:lang w:val="en-US"/>
              </w:rPr>
              <w:t xml:space="preserve"> (mean cellular </w:t>
            </w:r>
            <w:proofErr w:type="spellStart"/>
            <w:r w:rsidRPr="004B3566">
              <w:rPr>
                <w:rFonts w:ascii="Arial" w:hAnsi="Arial" w:cs="Arial"/>
                <w:i/>
                <w:iCs/>
                <w:color w:val="8EAADB" w:themeColor="accent1" w:themeTint="99"/>
                <w:sz w:val="20"/>
                <w:szCs w:val="20"/>
                <w:lang w:val="en-US"/>
              </w:rPr>
              <w:t>hemo</w:t>
            </w:r>
            <w:proofErr w:type="spellEnd"/>
            <w:r w:rsidRPr="004B3566">
              <w:rPr>
                <w:rFonts w:ascii="Arial" w:hAnsi="Arial" w:cs="Arial"/>
                <w:i/>
                <w:iCs/>
                <w:color w:val="8EAADB" w:themeColor="accent1" w:themeTint="99"/>
                <w:sz w:val="20"/>
                <w:szCs w:val="20"/>
                <w:lang w:val="en-US"/>
              </w:rPr>
              <w:t>-globin of reticulocytes)</w:t>
            </w:r>
          </w:p>
          <w:p w14:paraId="6609E210" w14:textId="77777777" w:rsidR="00E47DDB" w:rsidRPr="004B3566" w:rsidRDefault="00E47DDB" w:rsidP="00EB37B9">
            <w:pPr>
              <w:rPr>
                <w:rFonts w:ascii="Arial" w:hAnsi="Arial" w:cs="Arial"/>
                <w:sz w:val="20"/>
                <w:szCs w:val="20"/>
                <w:lang w:val="en-US"/>
              </w:rPr>
            </w:pPr>
            <w:proofErr w:type="spellStart"/>
            <w:r w:rsidRPr="004B3566">
              <w:rPr>
                <w:rFonts w:ascii="Arial" w:hAnsi="Arial" w:cs="Arial"/>
                <w:i/>
                <w:iCs/>
                <w:color w:val="8EAADB" w:themeColor="accent1" w:themeTint="99"/>
                <w:sz w:val="20"/>
                <w:szCs w:val="20"/>
                <w:lang w:val="en-US"/>
              </w:rPr>
              <w:t>CHCr</w:t>
            </w:r>
            <w:proofErr w:type="spellEnd"/>
            <w:r w:rsidRPr="004B3566">
              <w:rPr>
                <w:rFonts w:ascii="Arial" w:hAnsi="Arial" w:cs="Arial"/>
                <w:i/>
                <w:iCs/>
                <w:color w:val="8EAADB" w:themeColor="accent1" w:themeTint="99"/>
                <w:sz w:val="20"/>
                <w:szCs w:val="20"/>
                <w:lang w:val="en-US"/>
              </w:rPr>
              <w:t xml:space="preserve"> (mean cellular </w:t>
            </w:r>
            <w:proofErr w:type="spellStart"/>
            <w:r w:rsidRPr="004B3566">
              <w:rPr>
                <w:rFonts w:ascii="Arial" w:hAnsi="Arial" w:cs="Arial"/>
                <w:i/>
                <w:iCs/>
                <w:color w:val="8EAADB" w:themeColor="accent1" w:themeTint="99"/>
                <w:sz w:val="20"/>
                <w:szCs w:val="20"/>
                <w:lang w:val="en-US"/>
              </w:rPr>
              <w:t>hemo</w:t>
            </w:r>
            <w:proofErr w:type="spellEnd"/>
            <w:r w:rsidRPr="004B3566">
              <w:rPr>
                <w:rFonts w:ascii="Arial" w:hAnsi="Arial" w:cs="Arial"/>
                <w:i/>
                <w:iCs/>
                <w:color w:val="8EAADB" w:themeColor="accent1" w:themeTint="99"/>
                <w:sz w:val="20"/>
                <w:szCs w:val="20"/>
                <w:lang w:val="en-US"/>
              </w:rPr>
              <w:t>-globin concentration of reticulocytes)</w:t>
            </w:r>
          </w:p>
        </w:tc>
        <w:tc>
          <w:tcPr>
            <w:tcW w:w="1842" w:type="dxa"/>
          </w:tcPr>
          <w:p w14:paraId="2432717B" w14:textId="77777777" w:rsidR="00E47DDB" w:rsidRPr="004B3566" w:rsidRDefault="00E47DDB" w:rsidP="00EB37B9">
            <w:pPr>
              <w:rPr>
                <w:rFonts w:ascii="Arial" w:hAnsi="Arial" w:cs="Arial"/>
                <w:sz w:val="20"/>
                <w:szCs w:val="20"/>
                <w:lang w:val="en-US"/>
              </w:rPr>
            </w:pPr>
            <w:r w:rsidRPr="004B3566">
              <w:rPr>
                <w:rFonts w:ascii="Arial" w:hAnsi="Arial" w:cs="Arial"/>
                <w:i/>
                <w:iCs/>
                <w:color w:val="8EAADB" w:themeColor="accent1" w:themeTint="99"/>
                <w:sz w:val="20"/>
                <w:szCs w:val="20"/>
                <w:lang w:val="en-US"/>
              </w:rPr>
              <w:t>MRV (mean reticulocyte volume)</w:t>
            </w:r>
          </w:p>
        </w:tc>
        <w:tc>
          <w:tcPr>
            <w:tcW w:w="1985" w:type="dxa"/>
          </w:tcPr>
          <w:p w14:paraId="3E384437" w14:textId="77777777" w:rsidR="00E47DDB" w:rsidRPr="004B3566" w:rsidRDefault="00E47DDB" w:rsidP="00EB37B9">
            <w:pPr>
              <w:autoSpaceDE w:val="0"/>
              <w:autoSpaceDN w:val="0"/>
              <w:adjustRightInd w:val="0"/>
              <w:rPr>
                <w:rFonts w:ascii="Arial" w:hAnsi="Arial" w:cs="Arial"/>
                <w:color w:val="231F20"/>
                <w:sz w:val="20"/>
                <w:szCs w:val="20"/>
                <w:lang w:val="en-US"/>
              </w:rPr>
            </w:pPr>
            <w:proofErr w:type="spellStart"/>
            <w:r w:rsidRPr="004B3566">
              <w:rPr>
                <w:rFonts w:ascii="Arial" w:hAnsi="Arial" w:cs="Arial"/>
                <w:color w:val="231F20"/>
                <w:sz w:val="20"/>
                <w:szCs w:val="20"/>
                <w:lang w:val="en-US"/>
              </w:rPr>
              <w:t>RHCc</w:t>
            </w:r>
            <w:proofErr w:type="spellEnd"/>
            <w:r w:rsidRPr="004B3566">
              <w:rPr>
                <w:rFonts w:ascii="Arial" w:hAnsi="Arial" w:cs="Arial"/>
                <w:color w:val="231F20"/>
                <w:sz w:val="20"/>
                <w:szCs w:val="20"/>
                <w:lang w:val="en-US"/>
              </w:rPr>
              <w:t xml:space="preserve"> (Reticulocyte Hemoglobin</w:t>
            </w:r>
          </w:p>
          <w:p w14:paraId="0F9DC53B" w14:textId="77777777" w:rsidR="00E47DDB" w:rsidRPr="004B3566" w:rsidRDefault="00E47DDB" w:rsidP="00EB37B9">
            <w:pPr>
              <w:rPr>
                <w:rFonts w:ascii="Arial" w:hAnsi="Arial" w:cs="Arial"/>
                <w:color w:val="231F20"/>
                <w:sz w:val="20"/>
                <w:szCs w:val="20"/>
                <w:lang w:val="en-US"/>
              </w:rPr>
            </w:pPr>
            <w:r w:rsidRPr="004B3566">
              <w:rPr>
                <w:rFonts w:ascii="Arial" w:hAnsi="Arial" w:cs="Arial"/>
                <w:color w:val="231F20"/>
                <w:sz w:val="20"/>
                <w:szCs w:val="20"/>
                <w:lang w:val="en-US"/>
              </w:rPr>
              <w:t>Content calculated)</w:t>
            </w:r>
          </w:p>
          <w:p w14:paraId="32A41458" w14:textId="77777777" w:rsidR="00E47DDB" w:rsidRPr="004249A2" w:rsidRDefault="00E47DDB" w:rsidP="00EB37B9">
            <w:pPr>
              <w:autoSpaceDE w:val="0"/>
              <w:autoSpaceDN w:val="0"/>
              <w:adjustRightInd w:val="0"/>
              <w:rPr>
                <w:rFonts w:ascii="Arial" w:hAnsi="Arial" w:cs="Arial"/>
                <w:color w:val="172A2D"/>
                <w:sz w:val="20"/>
                <w:szCs w:val="20"/>
                <w:lang w:val="en-US"/>
              </w:rPr>
            </w:pPr>
            <w:r w:rsidRPr="004B3566">
              <w:rPr>
                <w:rFonts w:ascii="Arial" w:hAnsi="Arial" w:cs="Arial"/>
                <w:sz w:val="20"/>
                <w:szCs w:val="20"/>
                <w:lang w:val="en-US"/>
              </w:rPr>
              <w:t xml:space="preserve">MRV </w:t>
            </w:r>
            <w:r w:rsidRPr="004249A2">
              <w:rPr>
                <w:rFonts w:ascii="Arial" w:hAnsi="Arial" w:cs="Arial"/>
                <w:color w:val="172A2D"/>
                <w:sz w:val="20"/>
                <w:szCs w:val="20"/>
                <w:lang w:val="en-US"/>
              </w:rPr>
              <w:t>(Mean Reticulocyte Volume)</w:t>
            </w:r>
          </w:p>
          <w:p w14:paraId="5BAD3860" w14:textId="77777777" w:rsidR="00E47DDB" w:rsidRPr="004B3566" w:rsidRDefault="00E47DDB" w:rsidP="00EB37B9">
            <w:pPr>
              <w:rPr>
                <w:rFonts w:ascii="Arial" w:hAnsi="Arial" w:cs="Arial"/>
                <w:sz w:val="20"/>
                <w:szCs w:val="20"/>
                <w:lang w:val="en-US"/>
              </w:rPr>
            </w:pPr>
          </w:p>
        </w:tc>
        <w:tc>
          <w:tcPr>
            <w:tcW w:w="2126" w:type="dxa"/>
          </w:tcPr>
          <w:p w14:paraId="1F58B4DC" w14:textId="77777777" w:rsidR="00E47DDB" w:rsidRPr="004B3566" w:rsidRDefault="00E47DDB" w:rsidP="00EB37B9">
            <w:pPr>
              <w:autoSpaceDE w:val="0"/>
              <w:autoSpaceDN w:val="0"/>
              <w:adjustRightInd w:val="0"/>
              <w:rPr>
                <w:rFonts w:ascii="Arial" w:hAnsi="Arial" w:cs="Arial"/>
                <w:color w:val="172A2D"/>
                <w:sz w:val="20"/>
                <w:szCs w:val="20"/>
                <w:lang w:val="en-US"/>
              </w:rPr>
            </w:pPr>
            <w:r w:rsidRPr="004B3566">
              <w:rPr>
                <w:rFonts w:ascii="Arial" w:hAnsi="Arial" w:cs="Arial"/>
                <w:color w:val="172A2D"/>
                <w:sz w:val="20"/>
                <w:szCs w:val="20"/>
                <w:lang w:val="en-US"/>
              </w:rPr>
              <w:t xml:space="preserve">RHE (Reticulocyte Hemoglobin Expression) </w:t>
            </w:r>
          </w:p>
          <w:p w14:paraId="291F2AAC" w14:textId="77777777" w:rsidR="00E47DDB" w:rsidRPr="004B3566" w:rsidRDefault="00E47DDB" w:rsidP="00EB37B9">
            <w:pPr>
              <w:autoSpaceDE w:val="0"/>
              <w:autoSpaceDN w:val="0"/>
              <w:adjustRightInd w:val="0"/>
              <w:rPr>
                <w:rFonts w:ascii="Arial" w:hAnsi="Arial" w:cs="Arial"/>
                <w:i/>
                <w:iCs/>
                <w:color w:val="8EAADB" w:themeColor="accent1" w:themeTint="99"/>
                <w:sz w:val="20"/>
                <w:szCs w:val="20"/>
                <w:lang w:val="en-US"/>
              </w:rPr>
            </w:pPr>
            <w:r w:rsidRPr="004B3566">
              <w:rPr>
                <w:rFonts w:ascii="Arial" w:hAnsi="Arial" w:cs="Arial"/>
                <w:i/>
                <w:iCs/>
                <w:color w:val="8EAADB" w:themeColor="accent1" w:themeTint="99"/>
                <w:sz w:val="20"/>
                <w:szCs w:val="20"/>
                <w:lang w:val="en-US"/>
              </w:rPr>
              <w:t>MRV (mean reticulocyte volume)</w:t>
            </w:r>
          </w:p>
          <w:p w14:paraId="2BB4DEA7" w14:textId="77777777" w:rsidR="00E47DDB" w:rsidRPr="004B3566" w:rsidRDefault="00E47DDB" w:rsidP="00EB37B9">
            <w:pPr>
              <w:autoSpaceDE w:val="0"/>
              <w:autoSpaceDN w:val="0"/>
              <w:adjustRightInd w:val="0"/>
              <w:rPr>
                <w:rFonts w:ascii="Arial" w:hAnsi="Arial" w:cs="Arial"/>
                <w:color w:val="172A2D"/>
                <w:sz w:val="20"/>
                <w:szCs w:val="20"/>
                <w:lang w:val="en-US"/>
              </w:rPr>
            </w:pPr>
            <w:proofErr w:type="spellStart"/>
            <w:r w:rsidRPr="004B3566">
              <w:rPr>
                <w:rFonts w:ascii="Arial" w:hAnsi="Arial" w:cs="Arial"/>
                <w:i/>
                <w:iCs/>
                <w:color w:val="8EAADB" w:themeColor="accent1" w:themeTint="99"/>
                <w:sz w:val="20"/>
                <w:szCs w:val="20"/>
                <w:lang w:val="en-US"/>
              </w:rPr>
              <w:t>MVCr</w:t>
            </w:r>
            <w:proofErr w:type="spellEnd"/>
            <w:r w:rsidRPr="004B3566">
              <w:rPr>
                <w:rFonts w:ascii="Arial" w:hAnsi="Arial" w:cs="Arial"/>
                <w:i/>
                <w:iCs/>
                <w:color w:val="8EAADB" w:themeColor="accent1" w:themeTint="99"/>
                <w:sz w:val="20"/>
                <w:szCs w:val="20"/>
                <w:lang w:val="en-US"/>
              </w:rPr>
              <w:t xml:space="preserve"> (reticulocyte average volume)</w:t>
            </w:r>
          </w:p>
        </w:tc>
        <w:tc>
          <w:tcPr>
            <w:tcW w:w="2552" w:type="dxa"/>
          </w:tcPr>
          <w:p w14:paraId="54CE8229" w14:textId="77777777" w:rsidR="00E47DDB" w:rsidRPr="004B3566" w:rsidRDefault="00E47DDB" w:rsidP="00EB37B9">
            <w:pPr>
              <w:autoSpaceDE w:val="0"/>
              <w:autoSpaceDN w:val="0"/>
              <w:adjustRightInd w:val="0"/>
              <w:rPr>
                <w:rFonts w:ascii="Arial" w:hAnsi="Arial" w:cs="Arial"/>
                <w:color w:val="172A2D"/>
                <w:sz w:val="20"/>
                <w:szCs w:val="20"/>
                <w:lang w:val="en-US"/>
              </w:rPr>
            </w:pPr>
            <w:proofErr w:type="spellStart"/>
            <w:r w:rsidRPr="004B3566">
              <w:rPr>
                <w:rFonts w:ascii="Arial" w:hAnsi="Arial" w:cs="Arial"/>
                <w:sz w:val="20"/>
                <w:szCs w:val="20"/>
              </w:rPr>
              <w:t>CHr</w:t>
            </w:r>
            <w:proofErr w:type="spellEnd"/>
            <w:r w:rsidRPr="004B3566">
              <w:rPr>
                <w:rFonts w:ascii="Arial" w:hAnsi="Arial" w:cs="Arial"/>
                <w:sz w:val="20"/>
                <w:szCs w:val="20"/>
              </w:rPr>
              <w:t xml:space="preserve"> (Content </w:t>
            </w:r>
            <w:proofErr w:type="spellStart"/>
            <w:r w:rsidRPr="004B3566">
              <w:rPr>
                <w:rFonts w:ascii="Arial" w:hAnsi="Arial" w:cs="Arial"/>
                <w:sz w:val="20"/>
                <w:szCs w:val="20"/>
              </w:rPr>
              <w:t>Hemoglobin</w:t>
            </w:r>
            <w:proofErr w:type="spellEnd"/>
            <w:r w:rsidRPr="004B3566">
              <w:rPr>
                <w:rFonts w:ascii="Arial" w:hAnsi="Arial" w:cs="Arial"/>
                <w:sz w:val="20"/>
                <w:szCs w:val="20"/>
              </w:rPr>
              <w:t xml:space="preserve"> reticulocytes)</w:t>
            </w:r>
          </w:p>
        </w:tc>
      </w:tr>
      <w:tr w:rsidR="00E47DDB" w:rsidRPr="008A1667" w14:paraId="6124E63D" w14:textId="77777777" w:rsidTr="00EB37B9">
        <w:tc>
          <w:tcPr>
            <w:tcW w:w="1523" w:type="dxa"/>
          </w:tcPr>
          <w:p w14:paraId="4E542549" w14:textId="77777777" w:rsidR="00E47DDB" w:rsidRPr="004B3566" w:rsidRDefault="00E47DDB" w:rsidP="00EB37B9">
            <w:pPr>
              <w:rPr>
                <w:rFonts w:ascii="Arial" w:hAnsi="Arial" w:cs="Arial"/>
                <w:sz w:val="20"/>
                <w:szCs w:val="20"/>
              </w:rPr>
            </w:pPr>
            <w:r w:rsidRPr="004B3566">
              <w:rPr>
                <w:rFonts w:ascii="Arial" w:hAnsi="Arial" w:cs="Arial"/>
                <w:sz w:val="20"/>
                <w:szCs w:val="20"/>
              </w:rPr>
              <w:t>Nucleated red blood cells</w:t>
            </w:r>
          </w:p>
        </w:tc>
        <w:tc>
          <w:tcPr>
            <w:tcW w:w="1966" w:type="dxa"/>
          </w:tcPr>
          <w:p w14:paraId="0D274062" w14:textId="77777777" w:rsidR="00E47DDB" w:rsidRPr="004B3566" w:rsidRDefault="00E47DDB" w:rsidP="00EB37B9">
            <w:pPr>
              <w:rPr>
                <w:rFonts w:ascii="Arial" w:hAnsi="Arial" w:cs="Arial"/>
                <w:sz w:val="20"/>
                <w:szCs w:val="20"/>
              </w:rPr>
            </w:pPr>
            <w:r w:rsidRPr="004B3566">
              <w:rPr>
                <w:rFonts w:ascii="Arial" w:hAnsi="Arial" w:cs="Arial"/>
                <w:sz w:val="20"/>
                <w:szCs w:val="20"/>
              </w:rPr>
              <w:t>NRBC %, #</w:t>
            </w:r>
          </w:p>
          <w:p w14:paraId="35DDA16E" w14:textId="77777777" w:rsidR="00E47DDB" w:rsidRPr="004B3566" w:rsidRDefault="00E47DDB" w:rsidP="00EB37B9">
            <w:pPr>
              <w:rPr>
                <w:rFonts w:ascii="Arial" w:hAnsi="Arial" w:cs="Arial"/>
                <w:sz w:val="20"/>
                <w:szCs w:val="20"/>
              </w:rPr>
            </w:pPr>
          </w:p>
        </w:tc>
        <w:tc>
          <w:tcPr>
            <w:tcW w:w="2035" w:type="dxa"/>
          </w:tcPr>
          <w:p w14:paraId="1286CAC9" w14:textId="77777777" w:rsidR="00E47DDB" w:rsidRPr="004B3566" w:rsidRDefault="00E47DDB" w:rsidP="00EB37B9">
            <w:pPr>
              <w:rPr>
                <w:rFonts w:ascii="Arial" w:hAnsi="Arial" w:cs="Arial"/>
                <w:sz w:val="20"/>
                <w:szCs w:val="20"/>
              </w:rPr>
            </w:pPr>
            <w:r w:rsidRPr="004B3566">
              <w:rPr>
                <w:rFonts w:ascii="Arial" w:hAnsi="Arial" w:cs="Arial"/>
                <w:sz w:val="20"/>
                <w:szCs w:val="20"/>
              </w:rPr>
              <w:t>NRBC %, #</w:t>
            </w:r>
          </w:p>
          <w:p w14:paraId="581E41FB" w14:textId="77777777" w:rsidR="00E47DDB" w:rsidRPr="004B3566" w:rsidRDefault="00E47DDB" w:rsidP="00EB37B9">
            <w:pPr>
              <w:rPr>
                <w:rFonts w:ascii="Arial" w:hAnsi="Arial" w:cs="Arial"/>
                <w:sz w:val="20"/>
                <w:szCs w:val="20"/>
              </w:rPr>
            </w:pPr>
          </w:p>
        </w:tc>
        <w:tc>
          <w:tcPr>
            <w:tcW w:w="1842" w:type="dxa"/>
          </w:tcPr>
          <w:p w14:paraId="1BD62688" w14:textId="77777777" w:rsidR="00E47DDB" w:rsidRPr="004B3566" w:rsidRDefault="00E47DDB" w:rsidP="00EB37B9">
            <w:pPr>
              <w:rPr>
                <w:rFonts w:ascii="Arial" w:hAnsi="Arial" w:cs="Arial"/>
                <w:sz w:val="20"/>
                <w:szCs w:val="20"/>
              </w:rPr>
            </w:pPr>
            <w:r w:rsidRPr="004B3566">
              <w:rPr>
                <w:rFonts w:ascii="Arial" w:hAnsi="Arial" w:cs="Arial"/>
                <w:sz w:val="20"/>
                <w:szCs w:val="20"/>
              </w:rPr>
              <w:t>NRBC %, #</w:t>
            </w:r>
          </w:p>
          <w:p w14:paraId="0190FBEA" w14:textId="77777777" w:rsidR="00E47DDB" w:rsidRPr="004B3566" w:rsidRDefault="00E47DDB" w:rsidP="00EB37B9">
            <w:pPr>
              <w:rPr>
                <w:rFonts w:ascii="Arial" w:hAnsi="Arial" w:cs="Arial"/>
                <w:sz w:val="20"/>
                <w:szCs w:val="20"/>
              </w:rPr>
            </w:pPr>
          </w:p>
        </w:tc>
        <w:tc>
          <w:tcPr>
            <w:tcW w:w="1985" w:type="dxa"/>
          </w:tcPr>
          <w:p w14:paraId="321CDE94" w14:textId="77777777" w:rsidR="00E47DDB" w:rsidRPr="004B3566" w:rsidRDefault="00E47DDB" w:rsidP="00EB37B9">
            <w:pPr>
              <w:rPr>
                <w:rFonts w:ascii="Arial" w:hAnsi="Arial" w:cs="Arial"/>
                <w:sz w:val="20"/>
                <w:szCs w:val="20"/>
              </w:rPr>
            </w:pPr>
            <w:r w:rsidRPr="004B3566">
              <w:rPr>
                <w:rFonts w:ascii="Arial" w:hAnsi="Arial" w:cs="Arial"/>
                <w:sz w:val="20"/>
                <w:szCs w:val="20"/>
              </w:rPr>
              <w:t>NRBC %, #</w:t>
            </w:r>
          </w:p>
          <w:p w14:paraId="1893B1CE" w14:textId="77777777" w:rsidR="00E47DDB" w:rsidRPr="004B3566" w:rsidRDefault="00E47DDB" w:rsidP="00EB37B9">
            <w:pPr>
              <w:rPr>
                <w:rFonts w:ascii="Arial" w:hAnsi="Arial" w:cs="Arial"/>
                <w:sz w:val="20"/>
                <w:szCs w:val="20"/>
              </w:rPr>
            </w:pPr>
          </w:p>
        </w:tc>
        <w:tc>
          <w:tcPr>
            <w:tcW w:w="2126" w:type="dxa"/>
          </w:tcPr>
          <w:p w14:paraId="7518E93D" w14:textId="77777777" w:rsidR="00E47DDB" w:rsidRPr="004B3566" w:rsidRDefault="00E47DDB" w:rsidP="00EB37B9">
            <w:pPr>
              <w:rPr>
                <w:rFonts w:ascii="Arial" w:hAnsi="Arial" w:cs="Arial"/>
                <w:sz w:val="20"/>
                <w:szCs w:val="20"/>
              </w:rPr>
            </w:pPr>
            <w:r w:rsidRPr="004B3566">
              <w:rPr>
                <w:rFonts w:ascii="Arial" w:hAnsi="Arial" w:cs="Arial"/>
                <w:sz w:val="20"/>
                <w:szCs w:val="20"/>
              </w:rPr>
              <w:t>NRBC %, #</w:t>
            </w:r>
          </w:p>
          <w:p w14:paraId="57B8B099" w14:textId="77777777" w:rsidR="00E47DDB" w:rsidRPr="004B3566" w:rsidRDefault="00E47DDB" w:rsidP="00EB37B9">
            <w:pPr>
              <w:rPr>
                <w:rFonts w:ascii="Arial" w:hAnsi="Arial" w:cs="Arial"/>
                <w:i/>
                <w:iCs/>
                <w:color w:val="8EAADB" w:themeColor="accent1" w:themeTint="99"/>
                <w:sz w:val="20"/>
                <w:szCs w:val="20"/>
                <w:lang w:val="en-US"/>
              </w:rPr>
            </w:pPr>
          </w:p>
        </w:tc>
        <w:tc>
          <w:tcPr>
            <w:tcW w:w="2552" w:type="dxa"/>
          </w:tcPr>
          <w:p w14:paraId="635BC14F" w14:textId="77777777" w:rsidR="00E47DDB" w:rsidRPr="004B3566" w:rsidRDefault="00E47DDB" w:rsidP="00EB37B9">
            <w:pPr>
              <w:rPr>
                <w:rFonts w:ascii="Arial" w:hAnsi="Arial" w:cs="Arial"/>
                <w:sz w:val="20"/>
                <w:szCs w:val="20"/>
              </w:rPr>
            </w:pPr>
            <w:r w:rsidRPr="004B3566">
              <w:rPr>
                <w:rFonts w:ascii="Arial" w:hAnsi="Arial" w:cs="Arial"/>
                <w:sz w:val="20"/>
                <w:szCs w:val="20"/>
              </w:rPr>
              <w:t>NRBC %, #</w:t>
            </w:r>
          </w:p>
          <w:p w14:paraId="5213EAD6" w14:textId="77777777" w:rsidR="00E47DDB" w:rsidRPr="004B3566" w:rsidRDefault="00E47DDB" w:rsidP="00EB37B9">
            <w:pPr>
              <w:rPr>
                <w:rFonts w:ascii="Arial" w:hAnsi="Arial" w:cs="Arial"/>
                <w:sz w:val="20"/>
                <w:szCs w:val="20"/>
              </w:rPr>
            </w:pPr>
          </w:p>
        </w:tc>
      </w:tr>
      <w:tr w:rsidR="00E47DDB" w:rsidRPr="008A1667" w14:paraId="677A9D75" w14:textId="77777777" w:rsidTr="00EB37B9">
        <w:trPr>
          <w:trHeight w:val="2523"/>
        </w:trPr>
        <w:tc>
          <w:tcPr>
            <w:tcW w:w="1523" w:type="dxa"/>
          </w:tcPr>
          <w:p w14:paraId="5FA18B79"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Other RBC parameters</w:t>
            </w:r>
          </w:p>
          <w:p w14:paraId="53708E94" w14:textId="77777777" w:rsidR="00E47DDB" w:rsidRPr="004B3566" w:rsidRDefault="00E47DDB" w:rsidP="00EB37B9">
            <w:pPr>
              <w:rPr>
                <w:rFonts w:ascii="Arial" w:hAnsi="Arial" w:cs="Arial"/>
                <w:sz w:val="20"/>
                <w:szCs w:val="20"/>
                <w:lang w:val="en-US"/>
              </w:rPr>
            </w:pPr>
          </w:p>
          <w:p w14:paraId="201A93A4" w14:textId="77777777" w:rsidR="00E47DDB" w:rsidRPr="004B3566" w:rsidRDefault="00E47DDB" w:rsidP="00EB37B9">
            <w:pPr>
              <w:rPr>
                <w:rFonts w:ascii="Arial" w:hAnsi="Arial" w:cs="Arial"/>
                <w:sz w:val="20"/>
                <w:szCs w:val="20"/>
                <w:lang w:val="en-US"/>
              </w:rPr>
            </w:pPr>
          </w:p>
          <w:p w14:paraId="369EC62F" w14:textId="77777777" w:rsidR="00E47DDB" w:rsidRPr="004B3566" w:rsidRDefault="00E47DDB" w:rsidP="00EB37B9">
            <w:pPr>
              <w:rPr>
                <w:rFonts w:ascii="Arial" w:hAnsi="Arial" w:cs="Arial"/>
                <w:sz w:val="20"/>
                <w:szCs w:val="20"/>
                <w:lang w:val="en-US"/>
              </w:rPr>
            </w:pPr>
          </w:p>
        </w:tc>
        <w:tc>
          <w:tcPr>
            <w:tcW w:w="1966" w:type="dxa"/>
          </w:tcPr>
          <w:p w14:paraId="0425B71E"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Hypo-He (%)</w:t>
            </w:r>
          </w:p>
          <w:p w14:paraId="35EEBCA9"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(hypochromic RBC)</w:t>
            </w:r>
          </w:p>
          <w:p w14:paraId="22C8732B" w14:textId="77777777" w:rsidR="00E47DDB" w:rsidRPr="004B3566" w:rsidRDefault="00E47DDB" w:rsidP="00EB37B9">
            <w:pPr>
              <w:rPr>
                <w:rFonts w:ascii="Arial" w:hAnsi="Arial" w:cs="Arial"/>
                <w:sz w:val="20"/>
                <w:szCs w:val="20"/>
                <w:lang w:val="en-ZA"/>
              </w:rPr>
            </w:pPr>
            <w:r w:rsidRPr="004B3566">
              <w:rPr>
                <w:rFonts w:ascii="Arial" w:hAnsi="Arial" w:cs="Arial"/>
                <w:sz w:val="20"/>
                <w:szCs w:val="20"/>
                <w:lang w:val="en-ZA"/>
              </w:rPr>
              <w:t>RBC-He</w:t>
            </w:r>
          </w:p>
          <w:p w14:paraId="7EF6EEF1" w14:textId="77777777" w:rsidR="00E47DDB" w:rsidRPr="004B3566" w:rsidRDefault="00E47DDB" w:rsidP="00EB37B9">
            <w:pPr>
              <w:rPr>
                <w:rFonts w:ascii="Arial" w:hAnsi="Arial" w:cs="Arial"/>
                <w:iCs/>
                <w:sz w:val="20"/>
                <w:szCs w:val="20"/>
                <w:lang w:val="en-ZA"/>
              </w:rPr>
            </w:pPr>
            <w:r w:rsidRPr="004B3566">
              <w:rPr>
                <w:rFonts w:ascii="Arial" w:hAnsi="Arial" w:cs="Arial"/>
                <w:iCs/>
                <w:sz w:val="20"/>
                <w:szCs w:val="20"/>
                <w:lang w:val="en-ZA"/>
              </w:rPr>
              <w:t>(RBC haemoglobin content)</w:t>
            </w:r>
          </w:p>
          <w:p w14:paraId="623987D6" w14:textId="77777777" w:rsidR="00E47DDB" w:rsidRPr="004B3566" w:rsidRDefault="00E47DDB" w:rsidP="00EB37B9">
            <w:pPr>
              <w:rPr>
                <w:rFonts w:ascii="Arial" w:hAnsi="Arial" w:cs="Arial"/>
                <w:iCs/>
                <w:sz w:val="20"/>
                <w:szCs w:val="20"/>
                <w:lang w:val="en-ZA"/>
              </w:rPr>
            </w:pPr>
            <w:r w:rsidRPr="004B3566">
              <w:rPr>
                <w:rFonts w:ascii="Arial" w:hAnsi="Arial" w:cs="Arial"/>
                <w:iCs/>
                <w:sz w:val="20"/>
                <w:szCs w:val="20"/>
                <w:lang w:val="en-ZA"/>
              </w:rPr>
              <w:t>Delta-He</w:t>
            </w:r>
          </w:p>
          <w:p w14:paraId="541D1959" w14:textId="77777777" w:rsidR="00E47DDB" w:rsidRPr="004B3566" w:rsidRDefault="00E47DDB" w:rsidP="00EB37B9">
            <w:pPr>
              <w:rPr>
                <w:rFonts w:ascii="Arial" w:hAnsi="Arial" w:cs="Arial"/>
                <w:iCs/>
                <w:sz w:val="20"/>
                <w:szCs w:val="20"/>
                <w:lang w:val="en-ZA"/>
              </w:rPr>
            </w:pPr>
            <w:r w:rsidRPr="004B3566">
              <w:rPr>
                <w:rFonts w:ascii="Arial" w:hAnsi="Arial" w:cs="Arial"/>
                <w:iCs/>
                <w:sz w:val="20"/>
                <w:szCs w:val="20"/>
                <w:lang w:val="en-ZA"/>
              </w:rPr>
              <w:t>(difference between RET-He and RBC-He)</w:t>
            </w:r>
          </w:p>
          <w:p w14:paraId="7B6247CA" w14:textId="77777777" w:rsidR="00E47DDB" w:rsidRPr="004B3566" w:rsidRDefault="00E47DDB" w:rsidP="00EB37B9">
            <w:pPr>
              <w:rPr>
                <w:rFonts w:ascii="Arial" w:hAnsi="Arial" w:cs="Arial"/>
                <w:sz w:val="20"/>
                <w:szCs w:val="20"/>
                <w:lang w:val="en-US"/>
              </w:rPr>
            </w:pPr>
            <w:r w:rsidRPr="004B3566">
              <w:rPr>
                <w:rFonts w:ascii="Arial" w:hAnsi="Arial" w:cs="Arial"/>
                <w:iCs/>
                <w:sz w:val="20"/>
                <w:szCs w:val="20"/>
                <w:lang w:val="en-ZA"/>
              </w:rPr>
              <w:t>Micro% (microcytic RBC%)</w:t>
            </w:r>
          </w:p>
        </w:tc>
        <w:tc>
          <w:tcPr>
            <w:tcW w:w="2035" w:type="dxa"/>
          </w:tcPr>
          <w:p w14:paraId="04691622"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%HPO (%)</w:t>
            </w:r>
          </w:p>
          <w:p w14:paraId="4E82D2AB"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(hypochromic cells)</w:t>
            </w:r>
          </w:p>
        </w:tc>
        <w:tc>
          <w:tcPr>
            <w:tcW w:w="1842" w:type="dxa"/>
          </w:tcPr>
          <w:p w14:paraId="0BD8CC6E" w14:textId="77777777" w:rsidR="00E47DDB" w:rsidRPr="004B3566" w:rsidRDefault="00E47DDB" w:rsidP="00EB37B9">
            <w:pPr>
              <w:rPr>
                <w:rFonts w:ascii="Arial" w:hAnsi="Arial" w:cs="Arial"/>
                <w:i/>
                <w:iCs/>
                <w:color w:val="8EAADB" w:themeColor="accent1" w:themeTint="99"/>
                <w:sz w:val="20"/>
                <w:szCs w:val="20"/>
                <w:lang w:val="en-US"/>
              </w:rPr>
            </w:pPr>
            <w:r w:rsidRPr="004B3566">
              <w:rPr>
                <w:rFonts w:ascii="Arial" w:hAnsi="Arial" w:cs="Arial"/>
                <w:i/>
                <w:iCs/>
                <w:color w:val="8EAADB" w:themeColor="accent1" w:themeTint="99"/>
                <w:sz w:val="20"/>
                <w:szCs w:val="20"/>
                <w:lang w:val="en-US"/>
              </w:rPr>
              <w:t xml:space="preserve">LHD (%) </w:t>
            </w:r>
          </w:p>
          <w:p w14:paraId="1727576E" w14:textId="77777777" w:rsidR="00E47DDB" w:rsidRPr="004B3566" w:rsidRDefault="00E47DDB" w:rsidP="00EB37B9">
            <w:pPr>
              <w:rPr>
                <w:rFonts w:ascii="Arial" w:hAnsi="Arial" w:cs="Arial"/>
                <w:i/>
                <w:iCs/>
                <w:color w:val="8EAADB" w:themeColor="accent1" w:themeTint="99"/>
                <w:sz w:val="20"/>
                <w:szCs w:val="20"/>
                <w:lang w:val="en-US"/>
              </w:rPr>
            </w:pPr>
            <w:r w:rsidRPr="004B3566">
              <w:rPr>
                <w:rFonts w:ascii="Arial" w:hAnsi="Arial" w:cs="Arial"/>
                <w:i/>
                <w:iCs/>
                <w:color w:val="8EAADB" w:themeColor="accent1" w:themeTint="99"/>
                <w:sz w:val="20"/>
                <w:szCs w:val="20"/>
                <w:lang w:val="en-US"/>
              </w:rPr>
              <w:t>(Low hemoglobin density)</w:t>
            </w:r>
          </w:p>
          <w:p w14:paraId="5B51C4AA" w14:textId="77777777" w:rsidR="00E47DDB" w:rsidRPr="004B3566" w:rsidRDefault="00E47DDB" w:rsidP="00EB37B9">
            <w:pPr>
              <w:rPr>
                <w:rFonts w:ascii="Arial" w:hAnsi="Arial" w:cs="Arial"/>
                <w:i/>
                <w:iCs/>
                <w:color w:val="8EAADB" w:themeColor="accent1" w:themeTint="99"/>
                <w:sz w:val="20"/>
                <w:szCs w:val="20"/>
                <w:lang w:val="en-US"/>
              </w:rPr>
            </w:pPr>
            <w:r w:rsidRPr="004B3566">
              <w:rPr>
                <w:rFonts w:ascii="Arial" w:hAnsi="Arial" w:cs="Arial"/>
                <w:i/>
                <w:iCs/>
                <w:color w:val="8EAADB" w:themeColor="accent1" w:themeTint="99"/>
                <w:sz w:val="20"/>
                <w:szCs w:val="20"/>
                <w:lang w:val="en-US"/>
              </w:rPr>
              <w:t>MAF (Microcytic anemia factor)</w:t>
            </w:r>
          </w:p>
          <w:p w14:paraId="6AF2A651" w14:textId="77777777" w:rsidR="00E47DDB" w:rsidRPr="004B3566" w:rsidRDefault="00E47DDB" w:rsidP="00EB37B9">
            <w:pPr>
              <w:rPr>
                <w:rFonts w:ascii="Arial" w:hAnsi="Arial" w:cs="Arial"/>
                <w:i/>
                <w:iCs/>
                <w:color w:val="8EAADB" w:themeColor="accent1" w:themeTint="99"/>
                <w:sz w:val="20"/>
                <w:szCs w:val="20"/>
                <w:lang w:val="en-US"/>
              </w:rPr>
            </w:pPr>
            <w:r w:rsidRPr="004B3566">
              <w:rPr>
                <w:rFonts w:ascii="Arial" w:hAnsi="Arial" w:cs="Arial"/>
                <w:i/>
                <w:iCs/>
                <w:color w:val="8EAADB" w:themeColor="accent1" w:themeTint="99"/>
                <w:sz w:val="20"/>
                <w:szCs w:val="20"/>
                <w:lang w:val="en-US"/>
              </w:rPr>
              <w:t>RSF (RBC size factor)</w:t>
            </w:r>
          </w:p>
          <w:p w14:paraId="79E3553A" w14:textId="77777777" w:rsidR="00E47DDB" w:rsidRPr="004B3566" w:rsidRDefault="00E47DDB" w:rsidP="00EB37B9">
            <w:pPr>
              <w:rPr>
                <w:rFonts w:ascii="Arial" w:hAnsi="Arial" w:cs="Arial"/>
                <w:sz w:val="20"/>
                <w:szCs w:val="20"/>
                <w:lang w:val="en-US"/>
              </w:rPr>
            </w:pPr>
            <w:r w:rsidRPr="004B3566">
              <w:rPr>
                <w:rFonts w:ascii="Arial" w:hAnsi="Arial" w:cs="Arial"/>
                <w:i/>
                <w:iCs/>
                <w:color w:val="8EAADB" w:themeColor="accent1" w:themeTint="99"/>
                <w:sz w:val="20"/>
                <w:szCs w:val="20"/>
                <w:lang w:val="en-US"/>
              </w:rPr>
              <w:t>MRV (mean reticulocyte volume)</w:t>
            </w:r>
          </w:p>
        </w:tc>
        <w:tc>
          <w:tcPr>
            <w:tcW w:w="1985" w:type="dxa"/>
          </w:tcPr>
          <w:p w14:paraId="2149902D" w14:textId="77777777" w:rsidR="00E47DDB" w:rsidRPr="004B3566" w:rsidRDefault="00E47DDB" w:rsidP="00EB37B9">
            <w:pPr>
              <w:rPr>
                <w:rFonts w:ascii="Arial" w:hAnsi="Arial" w:cs="Arial"/>
                <w:sz w:val="20"/>
                <w:szCs w:val="20"/>
                <w:lang w:val="en-US"/>
              </w:rPr>
            </w:pPr>
          </w:p>
        </w:tc>
        <w:tc>
          <w:tcPr>
            <w:tcW w:w="2126" w:type="dxa"/>
          </w:tcPr>
          <w:p w14:paraId="1E2CDCCD"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Hypo%</w:t>
            </w:r>
          </w:p>
          <w:p w14:paraId="3A1F5EC4"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(Hypochromic RBC%)</w:t>
            </w:r>
          </w:p>
          <w:p w14:paraId="60836B2E" w14:textId="77777777" w:rsidR="00E47DDB" w:rsidRPr="004B3566" w:rsidRDefault="00E47DDB" w:rsidP="00EB37B9">
            <w:pPr>
              <w:rPr>
                <w:rFonts w:ascii="Arial" w:hAnsi="Arial" w:cs="Arial"/>
                <w:i/>
                <w:iCs/>
                <w:color w:val="4472C4" w:themeColor="accent1"/>
                <w:sz w:val="20"/>
                <w:szCs w:val="20"/>
                <w:lang w:val="en-US"/>
              </w:rPr>
            </w:pPr>
            <w:r w:rsidRPr="004B3566">
              <w:rPr>
                <w:rFonts w:ascii="Arial" w:hAnsi="Arial" w:cs="Arial"/>
                <w:i/>
                <w:iCs/>
                <w:color w:val="4472C4" w:themeColor="accent1"/>
                <w:sz w:val="20"/>
                <w:szCs w:val="20"/>
                <w:lang w:val="en-US"/>
              </w:rPr>
              <w:t>Micro%</w:t>
            </w:r>
          </w:p>
          <w:p w14:paraId="2CB3A5B8" w14:textId="77777777" w:rsidR="00E47DDB" w:rsidRPr="004B3566" w:rsidRDefault="00E47DDB" w:rsidP="00EB37B9">
            <w:pPr>
              <w:rPr>
                <w:rFonts w:ascii="Arial" w:hAnsi="Arial" w:cs="Arial"/>
                <w:i/>
                <w:iCs/>
                <w:sz w:val="20"/>
                <w:szCs w:val="20"/>
                <w:lang w:val="en-US"/>
              </w:rPr>
            </w:pPr>
            <w:r w:rsidRPr="004B3566">
              <w:rPr>
                <w:rFonts w:ascii="Arial" w:hAnsi="Arial" w:cs="Arial"/>
                <w:i/>
                <w:iCs/>
                <w:color w:val="4472C4" w:themeColor="accent1"/>
                <w:sz w:val="20"/>
                <w:szCs w:val="20"/>
                <w:lang w:val="en-US"/>
              </w:rPr>
              <w:t>(Microcytic RBC%)</w:t>
            </w:r>
          </w:p>
        </w:tc>
        <w:tc>
          <w:tcPr>
            <w:tcW w:w="2552" w:type="dxa"/>
          </w:tcPr>
          <w:p w14:paraId="02E94DCD"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 xml:space="preserve">Hypo (%) </w:t>
            </w:r>
          </w:p>
          <w:p w14:paraId="4B5A6FAA"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(hypochromic RBC)</w:t>
            </w:r>
          </w:p>
        </w:tc>
      </w:tr>
      <w:tr w:rsidR="00E47DDB" w:rsidRPr="008A1667" w14:paraId="612B51A3" w14:textId="77777777" w:rsidTr="00EB37B9">
        <w:trPr>
          <w:trHeight w:val="299"/>
        </w:trPr>
        <w:tc>
          <w:tcPr>
            <w:tcW w:w="14029" w:type="dxa"/>
            <w:gridSpan w:val="7"/>
          </w:tcPr>
          <w:p w14:paraId="65F77408"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Platelet parameters</w:t>
            </w:r>
          </w:p>
        </w:tc>
      </w:tr>
      <w:tr w:rsidR="00E47DDB" w:rsidRPr="00C0680D" w14:paraId="77D4620F" w14:textId="77777777" w:rsidTr="00E47DDB">
        <w:trPr>
          <w:trHeight w:val="665"/>
        </w:trPr>
        <w:tc>
          <w:tcPr>
            <w:tcW w:w="1523" w:type="dxa"/>
          </w:tcPr>
          <w:p w14:paraId="55E7C849" w14:textId="77777777" w:rsidR="00E47DDB" w:rsidRPr="004B3566" w:rsidRDefault="00E47DDB" w:rsidP="00EB37B9">
            <w:pPr>
              <w:rPr>
                <w:rFonts w:ascii="Arial" w:hAnsi="Arial" w:cs="Arial"/>
                <w:sz w:val="20"/>
                <w:szCs w:val="20"/>
                <w:lang w:val="en-US"/>
              </w:rPr>
            </w:pPr>
            <w:r w:rsidRPr="004B3566">
              <w:rPr>
                <w:rFonts w:ascii="Arial" w:hAnsi="Arial" w:cs="Arial"/>
                <w:sz w:val="20"/>
                <w:szCs w:val="20"/>
              </w:rPr>
              <w:t>Immature platelet fraction</w:t>
            </w:r>
          </w:p>
        </w:tc>
        <w:tc>
          <w:tcPr>
            <w:tcW w:w="1966" w:type="dxa"/>
          </w:tcPr>
          <w:p w14:paraId="37FB6BD7" w14:textId="77777777" w:rsidR="00E47DDB" w:rsidRPr="004B3566" w:rsidRDefault="00E47DDB" w:rsidP="00EB37B9">
            <w:pPr>
              <w:rPr>
                <w:rFonts w:ascii="Arial" w:hAnsi="Arial" w:cs="Arial"/>
                <w:sz w:val="20"/>
                <w:szCs w:val="20"/>
              </w:rPr>
            </w:pPr>
            <w:r w:rsidRPr="004B3566">
              <w:rPr>
                <w:rFonts w:ascii="Arial" w:hAnsi="Arial" w:cs="Arial"/>
                <w:sz w:val="20"/>
                <w:szCs w:val="20"/>
              </w:rPr>
              <w:t>IPF %</w:t>
            </w:r>
          </w:p>
          <w:p w14:paraId="525315C1" w14:textId="0D20FF14" w:rsidR="00E47DDB" w:rsidRPr="004B3566" w:rsidRDefault="00E47DDB" w:rsidP="00E47DDB">
            <w:pPr>
              <w:rPr>
                <w:rFonts w:ascii="Arial" w:hAnsi="Arial" w:cs="Arial"/>
                <w:sz w:val="20"/>
                <w:szCs w:val="20"/>
                <w:lang w:val="en-US"/>
              </w:rPr>
            </w:pPr>
            <w:r w:rsidRPr="004B3566">
              <w:rPr>
                <w:rFonts w:ascii="Arial" w:hAnsi="Arial" w:cs="Arial"/>
                <w:sz w:val="20"/>
                <w:szCs w:val="20"/>
              </w:rPr>
              <w:t>IPF #</w:t>
            </w:r>
          </w:p>
        </w:tc>
        <w:tc>
          <w:tcPr>
            <w:tcW w:w="2035" w:type="dxa"/>
          </w:tcPr>
          <w:p w14:paraId="58767EB4"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w:t>
            </w:r>
            <w:proofErr w:type="spellStart"/>
            <w:r w:rsidRPr="004B3566">
              <w:rPr>
                <w:rFonts w:ascii="Arial" w:hAnsi="Arial" w:cs="Arial"/>
                <w:sz w:val="20"/>
                <w:szCs w:val="20"/>
                <w:lang w:val="en-US"/>
              </w:rPr>
              <w:t>rP</w:t>
            </w:r>
            <w:proofErr w:type="spellEnd"/>
          </w:p>
          <w:p w14:paraId="54E7A751"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(percentage of reticulated platelets)</w:t>
            </w:r>
          </w:p>
        </w:tc>
        <w:tc>
          <w:tcPr>
            <w:tcW w:w="1842" w:type="dxa"/>
          </w:tcPr>
          <w:p w14:paraId="560AA5CB" w14:textId="77777777" w:rsidR="00E47DDB" w:rsidRPr="004B3566" w:rsidRDefault="00E47DDB" w:rsidP="00EB37B9">
            <w:pPr>
              <w:rPr>
                <w:rFonts w:ascii="Arial" w:hAnsi="Arial" w:cs="Arial"/>
                <w:i/>
                <w:iCs/>
                <w:color w:val="8EAADB" w:themeColor="accent1" w:themeTint="99"/>
                <w:sz w:val="20"/>
                <w:szCs w:val="20"/>
                <w:lang w:val="en-US"/>
              </w:rPr>
            </w:pPr>
          </w:p>
        </w:tc>
        <w:tc>
          <w:tcPr>
            <w:tcW w:w="1985" w:type="dxa"/>
          </w:tcPr>
          <w:p w14:paraId="71872EA4" w14:textId="77777777" w:rsidR="00E47DDB" w:rsidRPr="004B3566" w:rsidRDefault="00E47DDB" w:rsidP="00EB37B9">
            <w:pPr>
              <w:rPr>
                <w:rFonts w:ascii="Arial" w:hAnsi="Arial" w:cs="Arial"/>
                <w:sz w:val="20"/>
                <w:szCs w:val="20"/>
                <w:lang w:val="en-US"/>
              </w:rPr>
            </w:pPr>
          </w:p>
        </w:tc>
        <w:tc>
          <w:tcPr>
            <w:tcW w:w="2126" w:type="dxa"/>
          </w:tcPr>
          <w:p w14:paraId="6A1537DF"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IPF %</w:t>
            </w:r>
          </w:p>
          <w:p w14:paraId="587F4709" w14:textId="77777777" w:rsidR="00E47DDB" w:rsidRPr="004B3566" w:rsidRDefault="00E47DDB" w:rsidP="00EB37B9">
            <w:pPr>
              <w:rPr>
                <w:rFonts w:ascii="Arial" w:hAnsi="Arial" w:cs="Arial"/>
                <w:sz w:val="20"/>
                <w:szCs w:val="20"/>
                <w:lang w:val="en-US"/>
              </w:rPr>
            </w:pPr>
          </w:p>
          <w:p w14:paraId="25D50C0C" w14:textId="77777777" w:rsidR="00E47DDB" w:rsidRPr="004B3566" w:rsidRDefault="00E47DDB" w:rsidP="00EB37B9">
            <w:pPr>
              <w:rPr>
                <w:rFonts w:ascii="Arial" w:hAnsi="Arial" w:cs="Arial"/>
                <w:sz w:val="20"/>
                <w:szCs w:val="20"/>
                <w:lang w:val="en-US"/>
              </w:rPr>
            </w:pPr>
          </w:p>
        </w:tc>
        <w:tc>
          <w:tcPr>
            <w:tcW w:w="2552" w:type="dxa"/>
          </w:tcPr>
          <w:p w14:paraId="793BF1C9"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w:t>
            </w:r>
            <w:proofErr w:type="spellStart"/>
            <w:r w:rsidRPr="004B3566">
              <w:rPr>
                <w:rFonts w:ascii="Arial" w:hAnsi="Arial" w:cs="Arial"/>
                <w:sz w:val="20"/>
                <w:szCs w:val="20"/>
                <w:lang w:val="en-US"/>
              </w:rPr>
              <w:t>Rtc</w:t>
            </w:r>
            <w:proofErr w:type="spellEnd"/>
            <w:r w:rsidRPr="004B3566">
              <w:rPr>
                <w:rFonts w:ascii="Arial" w:hAnsi="Arial" w:cs="Arial"/>
                <w:sz w:val="20"/>
                <w:szCs w:val="20"/>
                <w:lang w:val="en-US"/>
              </w:rPr>
              <w:t xml:space="preserve"> </w:t>
            </w:r>
            <w:proofErr w:type="spellStart"/>
            <w:r w:rsidRPr="004B3566">
              <w:rPr>
                <w:rFonts w:ascii="Arial" w:hAnsi="Arial" w:cs="Arial"/>
                <w:sz w:val="20"/>
                <w:szCs w:val="20"/>
                <w:lang w:val="en-US"/>
              </w:rPr>
              <w:t>Plts</w:t>
            </w:r>
            <w:proofErr w:type="spellEnd"/>
          </w:p>
          <w:p w14:paraId="0BB7AC86" w14:textId="77777777" w:rsidR="00E47DDB" w:rsidRPr="004B3566" w:rsidRDefault="00E47DDB" w:rsidP="00EB37B9">
            <w:pPr>
              <w:rPr>
                <w:rFonts w:ascii="Arial" w:hAnsi="Arial" w:cs="Arial"/>
                <w:sz w:val="20"/>
                <w:szCs w:val="20"/>
                <w:lang w:val="en-US"/>
              </w:rPr>
            </w:pPr>
            <w:proofErr w:type="spellStart"/>
            <w:r w:rsidRPr="004B3566">
              <w:rPr>
                <w:rFonts w:ascii="Arial" w:hAnsi="Arial" w:cs="Arial"/>
                <w:sz w:val="20"/>
                <w:szCs w:val="20"/>
                <w:lang w:val="en-US"/>
              </w:rPr>
              <w:t>Rtc</w:t>
            </w:r>
            <w:proofErr w:type="spellEnd"/>
            <w:r w:rsidRPr="004B3566">
              <w:rPr>
                <w:rFonts w:ascii="Arial" w:hAnsi="Arial" w:cs="Arial"/>
                <w:sz w:val="20"/>
                <w:szCs w:val="20"/>
                <w:lang w:val="en-US"/>
              </w:rPr>
              <w:t xml:space="preserve"> </w:t>
            </w:r>
            <w:proofErr w:type="spellStart"/>
            <w:r w:rsidRPr="004B3566">
              <w:rPr>
                <w:rFonts w:ascii="Arial" w:hAnsi="Arial" w:cs="Arial"/>
                <w:sz w:val="20"/>
                <w:szCs w:val="20"/>
                <w:lang w:val="en-US"/>
              </w:rPr>
              <w:t>Plts</w:t>
            </w:r>
            <w:proofErr w:type="spellEnd"/>
            <w:r w:rsidRPr="004B3566">
              <w:rPr>
                <w:rFonts w:ascii="Arial" w:hAnsi="Arial" w:cs="Arial"/>
                <w:sz w:val="20"/>
                <w:szCs w:val="20"/>
                <w:lang w:val="en-US"/>
              </w:rPr>
              <w:t xml:space="preserve"> Count</w:t>
            </w:r>
          </w:p>
          <w:p w14:paraId="206257F0" w14:textId="77777777" w:rsidR="00E47DDB" w:rsidRPr="004B3566" w:rsidRDefault="00E47DDB" w:rsidP="00EB37B9">
            <w:pPr>
              <w:rPr>
                <w:rFonts w:ascii="Arial" w:hAnsi="Arial" w:cs="Arial"/>
                <w:sz w:val="20"/>
                <w:szCs w:val="20"/>
                <w:lang w:val="en-US"/>
              </w:rPr>
            </w:pPr>
            <w:r w:rsidRPr="004B3566">
              <w:rPr>
                <w:rFonts w:ascii="Arial" w:hAnsi="Arial" w:cs="Arial"/>
                <w:sz w:val="20"/>
                <w:szCs w:val="20"/>
                <w:lang w:val="en-US"/>
              </w:rPr>
              <w:t>(reticulated platelets %, #)</w:t>
            </w:r>
          </w:p>
        </w:tc>
      </w:tr>
    </w:tbl>
    <w:p w14:paraId="27749F1E" w14:textId="77777777" w:rsidR="00E47DDB" w:rsidRDefault="00E47DDB" w:rsidP="00E47DDB">
      <w:pPr>
        <w:rPr>
          <w:rFonts w:ascii="Arial" w:hAnsi="Arial" w:cs="Arial"/>
          <w:sz w:val="16"/>
          <w:szCs w:val="16"/>
          <w:lang w:val="en-ZA"/>
        </w:rPr>
      </w:pPr>
    </w:p>
    <w:p w14:paraId="48DB04A4" w14:textId="3FD347C1" w:rsidR="00E47DDB" w:rsidRPr="008A6A46" w:rsidRDefault="00E47DDB" w:rsidP="00E47DDB">
      <w:pPr>
        <w:rPr>
          <w:rFonts w:ascii="Arial" w:hAnsi="Arial" w:cs="Arial"/>
          <w:sz w:val="16"/>
          <w:szCs w:val="16"/>
          <w:lang w:val="en-ZA"/>
        </w:rPr>
      </w:pPr>
      <w:r>
        <w:rPr>
          <w:rFonts w:ascii="Arial" w:hAnsi="Arial" w:cs="Arial"/>
          <w:sz w:val="16"/>
          <w:szCs w:val="16"/>
          <w:lang w:val="en-ZA"/>
        </w:rPr>
        <w:t>Note</w:t>
      </w:r>
      <w:r w:rsidRPr="008A6A46">
        <w:rPr>
          <w:rFonts w:ascii="Arial" w:hAnsi="Arial" w:cs="Arial"/>
          <w:sz w:val="16"/>
          <w:szCs w:val="16"/>
          <w:lang w:val="en-ZA"/>
        </w:rPr>
        <w:t>: Recent technological advancements in h</w:t>
      </w:r>
      <w:r>
        <w:rPr>
          <w:rFonts w:ascii="Arial" w:hAnsi="Arial" w:cs="Arial"/>
          <w:sz w:val="16"/>
          <w:szCs w:val="16"/>
          <w:lang w:val="en-ZA"/>
        </w:rPr>
        <w:t>a</w:t>
      </w:r>
      <w:r w:rsidRPr="008A6A46">
        <w:rPr>
          <w:rFonts w:ascii="Arial" w:hAnsi="Arial" w:cs="Arial"/>
          <w:sz w:val="16"/>
          <w:szCs w:val="16"/>
          <w:lang w:val="en-ZA"/>
        </w:rPr>
        <w:t>ematology analy</w:t>
      </w:r>
      <w:r>
        <w:rPr>
          <w:rFonts w:ascii="Arial" w:hAnsi="Arial" w:cs="Arial"/>
          <w:sz w:val="16"/>
          <w:szCs w:val="16"/>
          <w:lang w:val="en-ZA"/>
        </w:rPr>
        <w:t>s</w:t>
      </w:r>
      <w:r w:rsidRPr="008A6A46">
        <w:rPr>
          <w:rFonts w:ascii="Arial" w:hAnsi="Arial" w:cs="Arial"/>
          <w:sz w:val="16"/>
          <w:szCs w:val="16"/>
          <w:lang w:val="en-ZA"/>
        </w:rPr>
        <w:t>ers have produced many novel parameters to characteri</w:t>
      </w:r>
      <w:r>
        <w:rPr>
          <w:rFonts w:ascii="Arial" w:hAnsi="Arial" w:cs="Arial"/>
          <w:sz w:val="16"/>
          <w:szCs w:val="16"/>
          <w:lang w:val="en-ZA"/>
        </w:rPr>
        <w:t>s</w:t>
      </w:r>
      <w:r w:rsidRPr="008A6A46">
        <w:rPr>
          <w:rFonts w:ascii="Arial" w:hAnsi="Arial" w:cs="Arial"/>
          <w:sz w:val="16"/>
          <w:szCs w:val="16"/>
          <w:lang w:val="en-ZA"/>
        </w:rPr>
        <w:t>e blood cells (</w:t>
      </w:r>
      <w:r>
        <w:rPr>
          <w:rFonts w:ascii="Arial" w:hAnsi="Arial" w:cs="Arial"/>
          <w:sz w:val="16"/>
          <w:szCs w:val="16"/>
          <w:lang w:val="en-ZA"/>
        </w:rPr>
        <w:t>Ref</w:t>
      </w:r>
      <w:r w:rsidRPr="008A6A46">
        <w:rPr>
          <w:rFonts w:ascii="Arial" w:hAnsi="Arial" w:cs="Arial"/>
          <w:sz w:val="16"/>
          <w:szCs w:val="16"/>
          <w:lang w:val="en-ZA"/>
        </w:rPr>
        <w:t>). While some are common, each manufacturer has parameters exclusive to their technology. The prognostic score could thus be adapted and trialled by using alternative parameters that provide similar assessment of cellular activation status, which is a core contributor to the discriminatory power of the prognostic score</w:t>
      </w:r>
      <w:r>
        <w:rPr>
          <w:rFonts w:ascii="Arial" w:hAnsi="Arial" w:cs="Arial"/>
          <w:sz w:val="18"/>
          <w:szCs w:val="18"/>
          <w:lang w:val="en-ZA"/>
        </w:rPr>
        <w:t>.</w:t>
      </w:r>
      <w:r w:rsidRPr="008A1667">
        <w:rPr>
          <w:rFonts w:ascii="Arial" w:hAnsi="Arial" w:cs="Arial"/>
          <w:sz w:val="18"/>
          <w:szCs w:val="18"/>
          <w:lang w:val="en-ZA"/>
        </w:rPr>
        <w:t xml:space="preserve"> </w:t>
      </w:r>
      <w:r>
        <w:rPr>
          <w:rFonts w:ascii="Arial" w:hAnsi="Arial" w:cs="Arial"/>
          <w:sz w:val="18"/>
          <w:szCs w:val="18"/>
          <w:lang w:val="en-ZA"/>
        </w:rPr>
        <w:t xml:space="preserve"> </w:t>
      </w:r>
      <w:r w:rsidRPr="008A6A46">
        <w:rPr>
          <w:rFonts w:ascii="Arial" w:hAnsi="Arial" w:cs="Arial"/>
          <w:sz w:val="16"/>
          <w:szCs w:val="16"/>
          <w:lang w:val="en-ZA"/>
        </w:rPr>
        <w:t>This table is not meant to reflect a comprehensive list of all non-standard parameters available on all models of haematology analy</w:t>
      </w:r>
      <w:r>
        <w:rPr>
          <w:rFonts w:ascii="Arial" w:hAnsi="Arial" w:cs="Arial"/>
          <w:sz w:val="16"/>
          <w:szCs w:val="16"/>
          <w:lang w:val="en-ZA"/>
        </w:rPr>
        <w:t>s</w:t>
      </w:r>
      <w:r w:rsidRPr="008A6A46">
        <w:rPr>
          <w:rFonts w:ascii="Arial" w:hAnsi="Arial" w:cs="Arial"/>
          <w:sz w:val="16"/>
          <w:szCs w:val="16"/>
          <w:lang w:val="en-ZA"/>
        </w:rPr>
        <w:t xml:space="preserve">ers from the manufacturers listed here. The information shared here is limited to those parameter classes that in the authors opinion best match the parameters that make up the </w:t>
      </w:r>
      <w:proofErr w:type="spellStart"/>
      <w:r w:rsidRPr="008A6A46">
        <w:rPr>
          <w:rFonts w:ascii="Arial" w:hAnsi="Arial" w:cs="Arial"/>
          <w:sz w:val="16"/>
          <w:szCs w:val="16"/>
          <w:lang w:val="en-ZA"/>
        </w:rPr>
        <w:t>h</w:t>
      </w:r>
      <w:r>
        <w:rPr>
          <w:rFonts w:ascii="Arial" w:hAnsi="Arial" w:cs="Arial"/>
          <w:sz w:val="16"/>
          <w:szCs w:val="16"/>
          <w:lang w:val="en-ZA"/>
        </w:rPr>
        <w:t>a</w:t>
      </w:r>
      <w:r w:rsidRPr="008A6A46">
        <w:rPr>
          <w:rFonts w:ascii="Arial" w:hAnsi="Arial" w:cs="Arial"/>
          <w:sz w:val="16"/>
          <w:szCs w:val="16"/>
          <w:lang w:val="en-ZA"/>
        </w:rPr>
        <w:t>emocytometric</w:t>
      </w:r>
      <w:proofErr w:type="spellEnd"/>
      <w:r w:rsidRPr="008A6A46">
        <w:rPr>
          <w:rFonts w:ascii="Arial" w:hAnsi="Arial" w:cs="Arial"/>
          <w:sz w:val="16"/>
          <w:szCs w:val="16"/>
          <w:lang w:val="en-ZA"/>
        </w:rPr>
        <w:t xml:space="preserve"> COVID-19-score. Parameters in black are diagnostic parameters, parameters in blue and in italics are research parameters. The information provided in th</w:t>
      </w:r>
      <w:r>
        <w:rPr>
          <w:rFonts w:ascii="Arial" w:hAnsi="Arial" w:cs="Arial"/>
          <w:sz w:val="16"/>
          <w:szCs w:val="16"/>
          <w:lang w:val="en-ZA"/>
        </w:rPr>
        <w:t xml:space="preserve">is </w:t>
      </w:r>
      <w:r w:rsidRPr="008A6A46">
        <w:rPr>
          <w:rFonts w:ascii="Arial" w:hAnsi="Arial" w:cs="Arial"/>
          <w:sz w:val="16"/>
          <w:szCs w:val="16"/>
          <w:lang w:val="en-ZA"/>
        </w:rPr>
        <w:t>table was extracted from the latest publicly accessible version of instructions for use of the analysers mentioned. Whilst every effort was made to ensure that the data is correct, the authors do not take responsibility for any omissions or mistakes.</w:t>
      </w:r>
    </w:p>
    <w:p w14:paraId="79D7D226" w14:textId="1802E70C" w:rsidR="00E47DDB" w:rsidRDefault="00E47DDB">
      <w:r w:rsidRPr="00D90B5A">
        <w:rPr>
          <w:rFonts w:ascii="Arial" w:hAnsi="Arial" w:cs="Arial"/>
          <w:sz w:val="16"/>
          <w:szCs w:val="16"/>
          <w:lang w:val="en-ZA"/>
        </w:rPr>
        <w:t xml:space="preserve">Ref. </w:t>
      </w:r>
      <w:r w:rsidRPr="00D90B5A">
        <w:rPr>
          <w:rFonts w:ascii="Arial" w:hAnsi="Arial" w:cs="Arial"/>
          <w:sz w:val="16"/>
          <w:szCs w:val="16"/>
          <w:lang w:val="en-US"/>
        </w:rPr>
        <w:t xml:space="preserve">Rastogi P, Bhatia P, Varma N. Novel Automated Hematology Parameters in Clinical Pediatric Practice. Indian </w:t>
      </w:r>
      <w:proofErr w:type="spellStart"/>
      <w:r w:rsidRPr="00D90B5A">
        <w:rPr>
          <w:rFonts w:ascii="Arial" w:hAnsi="Arial" w:cs="Arial"/>
          <w:sz w:val="16"/>
          <w:szCs w:val="16"/>
          <w:lang w:val="en-US"/>
        </w:rPr>
        <w:t>Pediatr</w:t>
      </w:r>
      <w:proofErr w:type="spellEnd"/>
      <w:r w:rsidRPr="00D90B5A">
        <w:rPr>
          <w:rFonts w:ascii="Arial" w:hAnsi="Arial" w:cs="Arial"/>
          <w:sz w:val="16"/>
          <w:szCs w:val="16"/>
          <w:lang w:val="en-US"/>
        </w:rPr>
        <w:t>. 2017;54(5):395-401.</w:t>
      </w:r>
    </w:p>
    <w:sectPr w:rsidR="00E47DDB" w:rsidSect="00E47DDB">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DB"/>
    <w:rsid w:val="00235950"/>
    <w:rsid w:val="00712D88"/>
    <w:rsid w:val="007B2DC7"/>
    <w:rsid w:val="00E47D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740F"/>
  <w15:chartTrackingRefBased/>
  <w15:docId w15:val="{FA4E64BA-0A9F-4F43-BB2F-A12ADBD9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DDB"/>
    <w:pPr>
      <w:spacing w:after="0" w:line="240" w:lineRule="auto"/>
    </w:pPr>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ED6E352E3E94A9E672102E9280A78" ma:contentTypeVersion="13" ma:contentTypeDescription="Create a new document." ma:contentTypeScope="" ma:versionID="a529e8943dc87cf3754032e4d63d692a">
  <xsd:schema xmlns:xsd="http://www.w3.org/2001/XMLSchema" xmlns:xs="http://www.w3.org/2001/XMLSchema" xmlns:p="http://schemas.microsoft.com/office/2006/metadata/properties" xmlns:ns3="0a9a36e6-fb1d-443b-bb79-b4ea18284ee5" xmlns:ns4="756d9047-25fa-4d06-9ad9-86c92a54809a" targetNamespace="http://schemas.microsoft.com/office/2006/metadata/properties" ma:root="true" ma:fieldsID="39b456756e4976d99852022fd04e0704" ns3:_="" ns4:_="">
    <xsd:import namespace="0a9a36e6-fb1d-443b-bb79-b4ea18284ee5"/>
    <xsd:import namespace="756d9047-25fa-4d06-9ad9-86c92a548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a36e6-fb1d-443b-bb79-b4ea18284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d9047-25fa-4d06-9ad9-86c92a548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626A8-3019-46C0-AA68-E7780D5F7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a36e6-fb1d-443b-bb79-b4ea18284ee5"/>
    <ds:schemaRef ds:uri="756d9047-25fa-4d06-9ad9-86c92a54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1AC36-8B6C-4342-B4E1-62187473FF92}">
  <ds:schemaRefs>
    <ds:schemaRef ds:uri="http://schemas.microsoft.com/sharepoint/v3/contenttype/forms"/>
  </ds:schemaRefs>
</ds:datastoreItem>
</file>

<file path=customXml/itemProps3.xml><?xml version="1.0" encoding="utf-8"?>
<ds:datastoreItem xmlns:ds="http://schemas.openxmlformats.org/officeDocument/2006/customXml" ds:itemID="{456B6D9A-23EA-4408-A899-C0CB61574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Munster, Dr. Marion - SSA</dc:creator>
  <cp:keywords/>
  <dc:description/>
  <cp:lastModifiedBy>Munster, Dr. Marion - SSA</cp:lastModifiedBy>
  <cp:revision>2</cp:revision>
  <dcterms:created xsi:type="dcterms:W3CDTF">2020-11-23T20:56:00Z</dcterms:created>
  <dcterms:modified xsi:type="dcterms:W3CDTF">2020-11-23T21:00:00Z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0x01010023BED6E352E3E94A9E672102E9280A78</vt:lpwstr>
  </property>
</Properties>
</file>