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F0813" w14:textId="36D55DF7" w:rsidR="00AA677A" w:rsidRPr="00F67BC0" w:rsidRDefault="00AA677A" w:rsidP="00AA677A">
      <w:pPr>
        <w:jc w:val="both"/>
        <w:rPr>
          <w:rFonts w:ascii="Arial" w:hAnsi="Arial" w:cs="Arial"/>
          <w:sz w:val="22"/>
          <w:szCs w:val="22"/>
        </w:rPr>
      </w:pPr>
      <w:r w:rsidRPr="00F67BC0">
        <w:rPr>
          <w:rFonts w:ascii="Arial" w:hAnsi="Arial" w:cs="Arial"/>
          <w:b/>
          <w:sz w:val="18"/>
          <w:szCs w:val="18"/>
        </w:rPr>
        <w:t xml:space="preserve">Figure 4 - </w:t>
      </w:r>
      <w:r w:rsidR="00E11CC7">
        <w:rPr>
          <w:rFonts w:ascii="Arial" w:hAnsi="Arial" w:cs="Arial"/>
          <w:b/>
          <w:sz w:val="18"/>
          <w:szCs w:val="18"/>
        </w:rPr>
        <w:t>s</w:t>
      </w:r>
      <w:r w:rsidRPr="00F67BC0">
        <w:rPr>
          <w:rFonts w:ascii="Arial" w:hAnsi="Arial" w:cs="Arial"/>
          <w:b/>
          <w:sz w:val="18"/>
          <w:szCs w:val="18"/>
        </w:rPr>
        <w:t xml:space="preserve">ource </w:t>
      </w:r>
      <w:r w:rsidR="00E11CC7">
        <w:rPr>
          <w:rFonts w:ascii="Arial" w:hAnsi="Arial" w:cs="Arial"/>
          <w:b/>
          <w:sz w:val="18"/>
          <w:szCs w:val="18"/>
        </w:rPr>
        <w:t>d</w:t>
      </w:r>
      <w:r w:rsidRPr="00F67BC0">
        <w:rPr>
          <w:rFonts w:ascii="Arial" w:hAnsi="Arial" w:cs="Arial"/>
          <w:b/>
          <w:sz w:val="18"/>
          <w:szCs w:val="18"/>
        </w:rPr>
        <w:t>ata 5.  Photobleaching data for monomeric control CLC-ec1 WT-Cy5 in 20% DL, 80% PO, 2:1 PE</w:t>
      </w:r>
      <w:r w:rsidR="004D25AF">
        <w:rPr>
          <w:rFonts w:ascii="Arial" w:hAnsi="Arial" w:cs="Arial"/>
          <w:b/>
          <w:sz w:val="18"/>
          <w:szCs w:val="18"/>
        </w:rPr>
        <w:t>/</w:t>
      </w:r>
      <w:r w:rsidRPr="00F67BC0">
        <w:rPr>
          <w:rFonts w:ascii="Arial" w:hAnsi="Arial" w:cs="Arial"/>
          <w:b/>
          <w:sz w:val="18"/>
          <w:szCs w:val="18"/>
        </w:rPr>
        <w:t>PG lipids.</w:t>
      </w:r>
      <w:r w:rsidRPr="00F67BC0">
        <w:rPr>
          <w:rFonts w:ascii="Arial" w:hAnsi="Arial" w:cs="Arial"/>
          <w:sz w:val="18"/>
          <w:szCs w:val="18"/>
        </w:rPr>
        <w:t xml:space="preserve">  </w:t>
      </w:r>
      <w:r w:rsidRPr="00F67BC0">
        <w:rPr>
          <w:rFonts w:ascii="Cambria Math" w:hAnsi="Cambria Math" w:cs="Cambria Math"/>
          <w:sz w:val="18"/>
          <w:szCs w:val="18"/>
        </w:rPr>
        <w:t>𝜒</w:t>
      </w:r>
      <w:r w:rsidRPr="00F67BC0">
        <w:rPr>
          <w:rFonts w:ascii="Arial" w:hAnsi="Arial" w:cs="Arial"/>
          <w:sz w:val="18"/>
          <w:szCs w:val="18"/>
        </w:rPr>
        <w:t xml:space="preserve">* is the reactive molar ratio of protein subunits and lipids, based on the observed mole fraction calculated from the protein and lipid quantification assays, and assuming the reaction occurs between oriented species in the membrane, </w:t>
      </w:r>
      <w:r w:rsidRPr="00F67BC0">
        <w:rPr>
          <w:rFonts w:ascii="Cambria Math" w:hAnsi="Cambria Math" w:cs="Cambria Math"/>
          <w:sz w:val="18"/>
          <w:szCs w:val="18"/>
        </w:rPr>
        <w:t>𝜒</w:t>
      </w:r>
      <w:r w:rsidRPr="00F67BC0">
        <w:rPr>
          <w:rFonts w:ascii="Arial" w:hAnsi="Arial" w:cs="Arial"/>
          <w:sz w:val="18"/>
          <w:szCs w:val="18"/>
        </w:rPr>
        <w:t>* =</w:t>
      </w:r>
      <w:r w:rsidRPr="00F67BC0">
        <w:rPr>
          <w:rFonts w:ascii="Cambria Math" w:hAnsi="Cambria Math" w:cs="Cambria Math"/>
          <w:sz w:val="18"/>
          <w:szCs w:val="18"/>
        </w:rPr>
        <w:t xml:space="preserve"> 𝜒</w:t>
      </w:r>
      <w:r w:rsidRPr="00F67BC0">
        <w:rPr>
          <w:rFonts w:ascii="Arial" w:hAnsi="Arial" w:cs="Arial"/>
          <w:sz w:val="18"/>
          <w:szCs w:val="18"/>
        </w:rPr>
        <w:t xml:space="preserve">/2. </w:t>
      </w:r>
      <w:proofErr w:type="spellStart"/>
      <w:r w:rsidRPr="00F67BC0">
        <w:rPr>
          <w:rFonts w:ascii="Arial" w:hAnsi="Arial" w:cs="Arial"/>
          <w:i/>
          <w:sz w:val="18"/>
          <w:szCs w:val="18"/>
        </w:rPr>
        <w:t>F</w:t>
      </w:r>
      <w:r w:rsidRPr="00F67BC0">
        <w:rPr>
          <w:rFonts w:ascii="Arial" w:hAnsi="Arial" w:cs="Arial"/>
          <w:i/>
          <w:sz w:val="18"/>
          <w:szCs w:val="18"/>
          <w:vertAlign w:val="subscript"/>
        </w:rPr>
        <w:t>dimer</w:t>
      </w:r>
      <w:proofErr w:type="spellEnd"/>
      <w:r w:rsidRPr="00F67BC0">
        <w:rPr>
          <w:rFonts w:ascii="Arial" w:hAnsi="Arial" w:cs="Arial"/>
          <w:sz w:val="18"/>
          <w:szCs w:val="18"/>
        </w:rPr>
        <w:t xml:space="preserve"> is calculated based on the WW-Cy5 and RCLC-Cy5 in 20% DL.  Data are represented as mean ± standard error.  Sample numbers, n, are listed separately for (mole fraction quantification, photobleaching analysis).</w:t>
      </w:r>
    </w:p>
    <w:p w14:paraId="47159340" w14:textId="77777777" w:rsidR="00AA677A" w:rsidRPr="00F67BC0" w:rsidRDefault="00AA677A" w:rsidP="00AA677A">
      <w:pPr>
        <w:jc w:val="both"/>
        <w:rPr>
          <w:rFonts w:ascii="Arial" w:hAnsi="Arial" w:cs="Arial"/>
          <w:sz w:val="22"/>
          <w:szCs w:val="22"/>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800"/>
        <w:gridCol w:w="1170"/>
        <w:gridCol w:w="990"/>
        <w:gridCol w:w="1170"/>
        <w:gridCol w:w="1170"/>
        <w:gridCol w:w="1170"/>
        <w:gridCol w:w="1170"/>
        <w:gridCol w:w="630"/>
      </w:tblGrid>
      <w:tr w:rsidR="00AA677A" w:rsidRPr="00F67BC0" w14:paraId="69235826" w14:textId="77777777" w:rsidTr="00972E4E">
        <w:trPr>
          <w:trHeight w:val="538"/>
          <w:jc w:val="center"/>
        </w:trPr>
        <w:tc>
          <w:tcPr>
            <w:tcW w:w="900" w:type="dxa"/>
            <w:tcBorders>
              <w:top w:val="single" w:sz="8" w:space="0" w:color="auto"/>
              <w:bottom w:val="single" w:sz="4" w:space="0" w:color="auto"/>
            </w:tcBorders>
            <w:vAlign w:val="center"/>
          </w:tcPr>
          <w:p w14:paraId="21BEC9A1"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density (</w:t>
            </w:r>
            <w:proofErr w:type="spellStart"/>
            <w:r w:rsidRPr="00F67BC0">
              <w:rPr>
                <w:rFonts w:ascii="Arial" w:hAnsi="Arial" w:cs="Arial"/>
                <w:b/>
                <w:sz w:val="18"/>
                <w:szCs w:val="18"/>
              </w:rPr>
              <w:t>μg</w:t>
            </w:r>
            <w:proofErr w:type="spellEnd"/>
            <w:r w:rsidRPr="00F67BC0">
              <w:rPr>
                <w:rFonts w:ascii="Arial" w:hAnsi="Arial" w:cs="Arial"/>
                <w:b/>
                <w:sz w:val="18"/>
                <w:szCs w:val="18"/>
              </w:rPr>
              <w:t>/mg)</w:t>
            </w:r>
          </w:p>
        </w:tc>
        <w:tc>
          <w:tcPr>
            <w:tcW w:w="1800" w:type="dxa"/>
            <w:tcBorders>
              <w:top w:val="single" w:sz="8" w:space="0" w:color="auto"/>
              <w:bottom w:val="single" w:sz="4" w:space="0" w:color="auto"/>
            </w:tcBorders>
            <w:vAlign w:val="center"/>
          </w:tcPr>
          <w:p w14:paraId="2F49F4FD" w14:textId="77777777" w:rsidR="00AA677A" w:rsidRPr="00F67BC0" w:rsidRDefault="00AA677A" w:rsidP="00872FA7">
            <w:pPr>
              <w:jc w:val="center"/>
              <w:rPr>
                <w:rFonts w:ascii="Arial" w:hAnsi="Arial" w:cs="Arial"/>
                <w:b/>
                <w:sz w:val="18"/>
                <w:szCs w:val="18"/>
              </w:rPr>
            </w:pPr>
            <w:r w:rsidRPr="00F67BC0">
              <w:rPr>
                <w:rFonts w:ascii="Cambria Math" w:hAnsi="Cambria Math" w:cs="Cambria Math"/>
                <w:b/>
                <w:sz w:val="18"/>
                <w:szCs w:val="18"/>
              </w:rPr>
              <w:t>𝜒</w:t>
            </w:r>
            <w:r w:rsidRPr="00F67BC0">
              <w:rPr>
                <w:rFonts w:ascii="Arial" w:hAnsi="Arial" w:cs="Arial"/>
                <w:b/>
                <w:sz w:val="18"/>
                <w:szCs w:val="18"/>
              </w:rPr>
              <w:t>* (subunits/lipid)</w:t>
            </w:r>
          </w:p>
        </w:tc>
        <w:tc>
          <w:tcPr>
            <w:tcW w:w="1170" w:type="dxa"/>
            <w:tcBorders>
              <w:top w:val="single" w:sz="8" w:space="0" w:color="auto"/>
              <w:left w:val="nil"/>
              <w:bottom w:val="single" w:sz="4" w:space="0" w:color="auto"/>
            </w:tcBorders>
            <w:vAlign w:val="center"/>
          </w:tcPr>
          <w:p w14:paraId="43485D0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Cy5</w:t>
            </w:r>
          </w:p>
        </w:tc>
        <w:tc>
          <w:tcPr>
            <w:tcW w:w="990" w:type="dxa"/>
            <w:tcBorders>
              <w:top w:val="single" w:sz="8" w:space="0" w:color="auto"/>
              <w:bottom w:val="single" w:sz="4" w:space="0" w:color="auto"/>
            </w:tcBorders>
            <w:vAlign w:val="center"/>
          </w:tcPr>
          <w:p w14:paraId="4A25F4EA" w14:textId="424779D1" w:rsidR="00AA677A" w:rsidRPr="00F67BC0" w:rsidRDefault="00972E4E" w:rsidP="00872FA7">
            <w:pPr>
              <w:jc w:val="center"/>
              <w:rPr>
                <w:rFonts w:ascii="Arial" w:hAnsi="Arial" w:cs="Arial"/>
                <w:b/>
                <w:sz w:val="18"/>
                <w:szCs w:val="18"/>
              </w:rPr>
            </w:pPr>
            <w:r>
              <w:rPr>
                <w:rFonts w:ascii="Arial" w:hAnsi="Arial" w:cs="Arial"/>
                <w:b/>
                <w:sz w:val="18"/>
                <w:szCs w:val="18"/>
              </w:rPr>
              <w:t>incubation time (d)</w:t>
            </w:r>
          </w:p>
        </w:tc>
        <w:tc>
          <w:tcPr>
            <w:tcW w:w="1170" w:type="dxa"/>
            <w:tcBorders>
              <w:top w:val="single" w:sz="8" w:space="0" w:color="auto"/>
              <w:bottom w:val="single" w:sz="4" w:space="0" w:color="auto"/>
            </w:tcBorders>
            <w:vAlign w:val="center"/>
          </w:tcPr>
          <w:p w14:paraId="2D319C43"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1</w:t>
            </w:r>
          </w:p>
        </w:tc>
        <w:tc>
          <w:tcPr>
            <w:tcW w:w="1170" w:type="dxa"/>
            <w:tcBorders>
              <w:top w:val="single" w:sz="8" w:space="0" w:color="auto"/>
              <w:bottom w:val="single" w:sz="4" w:space="0" w:color="auto"/>
            </w:tcBorders>
            <w:vAlign w:val="center"/>
          </w:tcPr>
          <w:p w14:paraId="6344755A"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2</w:t>
            </w:r>
          </w:p>
        </w:tc>
        <w:tc>
          <w:tcPr>
            <w:tcW w:w="1170" w:type="dxa"/>
            <w:tcBorders>
              <w:top w:val="single" w:sz="8" w:space="0" w:color="auto"/>
              <w:bottom w:val="single" w:sz="4" w:space="0" w:color="auto"/>
            </w:tcBorders>
            <w:vAlign w:val="center"/>
          </w:tcPr>
          <w:p w14:paraId="5456F4AE"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3+</w:t>
            </w:r>
          </w:p>
        </w:tc>
        <w:tc>
          <w:tcPr>
            <w:tcW w:w="1170" w:type="dxa"/>
            <w:tcBorders>
              <w:top w:val="single" w:sz="8" w:space="0" w:color="auto"/>
              <w:bottom w:val="single" w:sz="4" w:space="0" w:color="auto"/>
            </w:tcBorders>
            <w:vAlign w:val="center"/>
          </w:tcPr>
          <w:p w14:paraId="26F5A223" w14:textId="77777777" w:rsidR="00AA677A" w:rsidRPr="00F67BC0" w:rsidRDefault="00AA677A" w:rsidP="00872FA7">
            <w:pPr>
              <w:jc w:val="center"/>
              <w:rPr>
                <w:rFonts w:ascii="Arial" w:hAnsi="Arial" w:cs="Arial"/>
                <w:b/>
                <w:sz w:val="18"/>
                <w:szCs w:val="18"/>
              </w:rPr>
            </w:pPr>
            <w:proofErr w:type="spellStart"/>
            <w:r w:rsidRPr="00F67BC0">
              <w:rPr>
                <w:rFonts w:ascii="Arial" w:hAnsi="Arial" w:cs="Arial"/>
                <w:b/>
                <w:sz w:val="18"/>
                <w:szCs w:val="18"/>
              </w:rPr>
              <w:t>F</w:t>
            </w:r>
            <w:r w:rsidRPr="00F67BC0">
              <w:rPr>
                <w:rFonts w:ascii="Arial" w:hAnsi="Arial" w:cs="Arial"/>
                <w:b/>
                <w:sz w:val="18"/>
                <w:szCs w:val="18"/>
                <w:vertAlign w:val="subscript"/>
              </w:rPr>
              <w:t>dimer</w:t>
            </w:r>
            <w:proofErr w:type="spellEnd"/>
          </w:p>
        </w:tc>
        <w:tc>
          <w:tcPr>
            <w:tcW w:w="630" w:type="dxa"/>
            <w:tcBorders>
              <w:top w:val="single" w:sz="8" w:space="0" w:color="auto"/>
              <w:bottom w:val="single" w:sz="4" w:space="0" w:color="auto"/>
            </w:tcBorders>
            <w:vAlign w:val="center"/>
          </w:tcPr>
          <w:p w14:paraId="3859D3E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n</w:t>
            </w:r>
          </w:p>
        </w:tc>
      </w:tr>
      <w:tr w:rsidR="00AA677A" w:rsidRPr="00F67BC0" w14:paraId="0F11611D" w14:textId="77777777" w:rsidTr="00972E4E">
        <w:trPr>
          <w:trHeight w:val="288"/>
          <w:jc w:val="center"/>
        </w:trPr>
        <w:tc>
          <w:tcPr>
            <w:tcW w:w="900" w:type="dxa"/>
            <w:tcBorders>
              <w:top w:val="single" w:sz="4" w:space="0" w:color="auto"/>
            </w:tcBorders>
            <w:vAlign w:val="center"/>
          </w:tcPr>
          <w:p w14:paraId="0BF9A71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0.0001</w:t>
            </w:r>
          </w:p>
        </w:tc>
        <w:tc>
          <w:tcPr>
            <w:tcW w:w="1800" w:type="dxa"/>
            <w:tcBorders>
              <w:top w:val="single" w:sz="4" w:space="0" w:color="auto"/>
            </w:tcBorders>
            <w:vAlign w:val="center"/>
          </w:tcPr>
          <w:p w14:paraId="038BC57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(1.42 ± 0.17) x 10</w:t>
            </w:r>
            <w:r w:rsidRPr="00F67BC0">
              <w:rPr>
                <w:rFonts w:ascii="Arial" w:hAnsi="Arial" w:cs="Arial"/>
                <w:sz w:val="18"/>
                <w:szCs w:val="18"/>
                <w:vertAlign w:val="superscript"/>
              </w:rPr>
              <w:t>-9</w:t>
            </w:r>
          </w:p>
        </w:tc>
        <w:tc>
          <w:tcPr>
            <w:tcW w:w="1170" w:type="dxa"/>
            <w:tcBorders>
              <w:top w:val="single" w:sz="4" w:space="0" w:color="auto"/>
            </w:tcBorders>
            <w:vAlign w:val="center"/>
          </w:tcPr>
          <w:p w14:paraId="242260B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0.69 ± 0.00</w:t>
            </w:r>
          </w:p>
        </w:tc>
        <w:tc>
          <w:tcPr>
            <w:tcW w:w="990" w:type="dxa"/>
            <w:tcBorders>
              <w:top w:val="single" w:sz="4" w:space="0" w:color="auto"/>
            </w:tcBorders>
            <w:vAlign w:val="center"/>
          </w:tcPr>
          <w:p w14:paraId="55E4E5B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 ± 0.0</w:t>
            </w:r>
          </w:p>
        </w:tc>
        <w:tc>
          <w:tcPr>
            <w:tcW w:w="1170" w:type="dxa"/>
            <w:tcBorders>
              <w:top w:val="single" w:sz="4" w:space="0" w:color="auto"/>
            </w:tcBorders>
            <w:vAlign w:val="center"/>
          </w:tcPr>
          <w:p w14:paraId="494E18F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0.83 ± 0.01</w:t>
            </w:r>
          </w:p>
        </w:tc>
        <w:tc>
          <w:tcPr>
            <w:tcW w:w="1170" w:type="dxa"/>
            <w:tcBorders>
              <w:top w:val="single" w:sz="4" w:space="0" w:color="auto"/>
            </w:tcBorders>
            <w:vAlign w:val="center"/>
          </w:tcPr>
          <w:p w14:paraId="541F9F8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0.15 ± 0.01</w:t>
            </w:r>
          </w:p>
        </w:tc>
        <w:tc>
          <w:tcPr>
            <w:tcW w:w="1170" w:type="dxa"/>
            <w:tcBorders>
              <w:top w:val="single" w:sz="4" w:space="0" w:color="auto"/>
            </w:tcBorders>
            <w:vAlign w:val="center"/>
          </w:tcPr>
          <w:p w14:paraId="5C36FC6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0.02 ± 0.01</w:t>
            </w:r>
          </w:p>
        </w:tc>
        <w:tc>
          <w:tcPr>
            <w:tcW w:w="1170" w:type="dxa"/>
            <w:tcBorders>
              <w:top w:val="single" w:sz="4" w:space="0" w:color="auto"/>
            </w:tcBorders>
            <w:vAlign w:val="center"/>
          </w:tcPr>
          <w:p w14:paraId="447E659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 ± 0.00</w:t>
            </w:r>
          </w:p>
        </w:tc>
        <w:tc>
          <w:tcPr>
            <w:tcW w:w="630" w:type="dxa"/>
            <w:tcBorders>
              <w:top w:val="single" w:sz="4" w:space="0" w:color="auto"/>
            </w:tcBorders>
            <w:vAlign w:val="center"/>
          </w:tcPr>
          <w:p w14:paraId="400B5D9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(2,2)</w:t>
            </w:r>
          </w:p>
        </w:tc>
      </w:tr>
      <w:tr w:rsidR="00AA677A" w:rsidRPr="00F67BC0" w14:paraId="1BCAB5EC" w14:textId="77777777" w:rsidTr="00972E4E">
        <w:trPr>
          <w:trHeight w:val="288"/>
          <w:jc w:val="center"/>
        </w:trPr>
        <w:tc>
          <w:tcPr>
            <w:tcW w:w="900" w:type="dxa"/>
            <w:vAlign w:val="center"/>
          </w:tcPr>
          <w:p w14:paraId="28C75C6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0.001</w:t>
            </w:r>
          </w:p>
        </w:tc>
        <w:tc>
          <w:tcPr>
            <w:tcW w:w="1800" w:type="dxa"/>
            <w:vAlign w:val="center"/>
          </w:tcPr>
          <w:p w14:paraId="0331484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(5.23 ± 0.61) x 10</w:t>
            </w:r>
            <w:r w:rsidRPr="00F67BC0">
              <w:rPr>
                <w:rFonts w:ascii="Arial" w:hAnsi="Arial" w:cs="Arial"/>
                <w:sz w:val="18"/>
                <w:szCs w:val="18"/>
                <w:vertAlign w:val="superscript"/>
              </w:rPr>
              <w:t>-9</w:t>
            </w:r>
          </w:p>
        </w:tc>
        <w:tc>
          <w:tcPr>
            <w:tcW w:w="1170" w:type="dxa"/>
            <w:vAlign w:val="center"/>
          </w:tcPr>
          <w:p w14:paraId="14AE38E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0.68 ± 0.01</w:t>
            </w:r>
          </w:p>
        </w:tc>
        <w:tc>
          <w:tcPr>
            <w:tcW w:w="990" w:type="dxa"/>
            <w:vAlign w:val="center"/>
          </w:tcPr>
          <w:p w14:paraId="7ACA252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4.5 ± 1.0</w:t>
            </w:r>
          </w:p>
        </w:tc>
        <w:tc>
          <w:tcPr>
            <w:tcW w:w="1170" w:type="dxa"/>
            <w:vAlign w:val="center"/>
          </w:tcPr>
          <w:p w14:paraId="38011AB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0.77 ± 0.00</w:t>
            </w:r>
          </w:p>
        </w:tc>
        <w:tc>
          <w:tcPr>
            <w:tcW w:w="1170" w:type="dxa"/>
            <w:vAlign w:val="center"/>
          </w:tcPr>
          <w:p w14:paraId="1D6AE9E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0.18 ± 0.02</w:t>
            </w:r>
          </w:p>
        </w:tc>
        <w:tc>
          <w:tcPr>
            <w:tcW w:w="1170" w:type="dxa"/>
            <w:vAlign w:val="center"/>
          </w:tcPr>
          <w:p w14:paraId="299CDDD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0.05 ± 0.02</w:t>
            </w:r>
          </w:p>
        </w:tc>
        <w:tc>
          <w:tcPr>
            <w:tcW w:w="1170" w:type="dxa"/>
            <w:vAlign w:val="center"/>
          </w:tcPr>
          <w:p w14:paraId="01F7A2E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0.07 ± 0.06</w:t>
            </w:r>
          </w:p>
        </w:tc>
        <w:tc>
          <w:tcPr>
            <w:tcW w:w="630" w:type="dxa"/>
            <w:vAlign w:val="center"/>
          </w:tcPr>
          <w:p w14:paraId="14304B7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(2,4)</w:t>
            </w:r>
          </w:p>
        </w:tc>
      </w:tr>
      <w:tr w:rsidR="00AA677A" w:rsidRPr="00F67BC0" w14:paraId="7EEB571D" w14:textId="77777777" w:rsidTr="00972E4E">
        <w:trPr>
          <w:trHeight w:val="288"/>
          <w:jc w:val="center"/>
        </w:trPr>
        <w:tc>
          <w:tcPr>
            <w:tcW w:w="900" w:type="dxa"/>
            <w:vAlign w:val="center"/>
          </w:tcPr>
          <w:p w14:paraId="4AB1EBF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0.01</w:t>
            </w:r>
          </w:p>
        </w:tc>
        <w:tc>
          <w:tcPr>
            <w:tcW w:w="1800" w:type="dxa"/>
            <w:vAlign w:val="center"/>
          </w:tcPr>
          <w:p w14:paraId="26B706C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(3.11 ± 0.77) x 10</w:t>
            </w:r>
            <w:r w:rsidRPr="00F67BC0">
              <w:rPr>
                <w:rFonts w:ascii="Arial" w:hAnsi="Arial" w:cs="Arial"/>
                <w:sz w:val="18"/>
                <w:szCs w:val="18"/>
                <w:vertAlign w:val="superscript"/>
              </w:rPr>
              <w:t>-8</w:t>
            </w:r>
          </w:p>
        </w:tc>
        <w:tc>
          <w:tcPr>
            <w:tcW w:w="1170" w:type="dxa"/>
            <w:vAlign w:val="center"/>
          </w:tcPr>
          <w:p w14:paraId="568CC1A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0.68 ± 0.01</w:t>
            </w:r>
          </w:p>
        </w:tc>
        <w:tc>
          <w:tcPr>
            <w:tcW w:w="990" w:type="dxa"/>
            <w:vAlign w:val="center"/>
          </w:tcPr>
          <w:p w14:paraId="70EE4C6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4.5 ± 1.0</w:t>
            </w:r>
          </w:p>
        </w:tc>
        <w:tc>
          <w:tcPr>
            <w:tcW w:w="1170" w:type="dxa"/>
            <w:vAlign w:val="center"/>
          </w:tcPr>
          <w:p w14:paraId="00F60DB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0.74 ± 0.02</w:t>
            </w:r>
          </w:p>
        </w:tc>
        <w:tc>
          <w:tcPr>
            <w:tcW w:w="1170" w:type="dxa"/>
            <w:vAlign w:val="center"/>
          </w:tcPr>
          <w:p w14:paraId="7A7920E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0.22 ± 0.02</w:t>
            </w:r>
          </w:p>
        </w:tc>
        <w:tc>
          <w:tcPr>
            <w:tcW w:w="1170" w:type="dxa"/>
            <w:vAlign w:val="center"/>
          </w:tcPr>
          <w:p w14:paraId="13EF848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0.04 ± 0.01</w:t>
            </w:r>
          </w:p>
        </w:tc>
        <w:tc>
          <w:tcPr>
            <w:tcW w:w="1170" w:type="dxa"/>
            <w:vAlign w:val="center"/>
          </w:tcPr>
          <w:p w14:paraId="66BBE8D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0.13 ± 0.05</w:t>
            </w:r>
          </w:p>
        </w:tc>
        <w:tc>
          <w:tcPr>
            <w:tcW w:w="630" w:type="dxa"/>
            <w:vAlign w:val="center"/>
          </w:tcPr>
          <w:p w14:paraId="51DF4F2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(3,4)</w:t>
            </w:r>
          </w:p>
        </w:tc>
      </w:tr>
      <w:tr w:rsidR="00AA677A" w:rsidRPr="00F67BC0" w14:paraId="5CDBF355" w14:textId="77777777" w:rsidTr="00972E4E">
        <w:trPr>
          <w:trHeight w:val="288"/>
          <w:jc w:val="center"/>
        </w:trPr>
        <w:tc>
          <w:tcPr>
            <w:tcW w:w="900" w:type="dxa"/>
            <w:vAlign w:val="center"/>
          </w:tcPr>
          <w:p w14:paraId="2579E13B"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w:t>
            </w:r>
          </w:p>
        </w:tc>
        <w:tc>
          <w:tcPr>
            <w:tcW w:w="1800" w:type="dxa"/>
            <w:vAlign w:val="center"/>
          </w:tcPr>
          <w:p w14:paraId="4FC26B4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(4.21 ± 0.44) x 10</w:t>
            </w:r>
            <w:r w:rsidRPr="00F67BC0">
              <w:rPr>
                <w:rFonts w:ascii="Arial" w:hAnsi="Arial" w:cs="Arial"/>
                <w:sz w:val="18"/>
                <w:szCs w:val="18"/>
                <w:vertAlign w:val="superscript"/>
              </w:rPr>
              <w:t>-7</w:t>
            </w:r>
          </w:p>
        </w:tc>
        <w:tc>
          <w:tcPr>
            <w:tcW w:w="1170" w:type="dxa"/>
            <w:vAlign w:val="center"/>
          </w:tcPr>
          <w:p w14:paraId="709A4A4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0.68 ± 0.01</w:t>
            </w:r>
          </w:p>
        </w:tc>
        <w:tc>
          <w:tcPr>
            <w:tcW w:w="990" w:type="dxa"/>
            <w:vAlign w:val="center"/>
          </w:tcPr>
          <w:p w14:paraId="6A20443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4.5 ± 1.0</w:t>
            </w:r>
          </w:p>
        </w:tc>
        <w:tc>
          <w:tcPr>
            <w:tcW w:w="1170" w:type="dxa"/>
            <w:vAlign w:val="center"/>
          </w:tcPr>
          <w:p w14:paraId="72E58AE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0.63 ± 0.03</w:t>
            </w:r>
          </w:p>
        </w:tc>
        <w:tc>
          <w:tcPr>
            <w:tcW w:w="1170" w:type="dxa"/>
            <w:vAlign w:val="center"/>
          </w:tcPr>
          <w:p w14:paraId="6B0FB8F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0.28 ± 0.02</w:t>
            </w:r>
          </w:p>
        </w:tc>
        <w:tc>
          <w:tcPr>
            <w:tcW w:w="1170" w:type="dxa"/>
            <w:vAlign w:val="center"/>
          </w:tcPr>
          <w:p w14:paraId="5537697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0.09 ± 0.02</w:t>
            </w:r>
          </w:p>
        </w:tc>
        <w:tc>
          <w:tcPr>
            <w:tcW w:w="1170" w:type="dxa"/>
            <w:vAlign w:val="center"/>
          </w:tcPr>
          <w:p w14:paraId="49D4F72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0.11 ± 0.05</w:t>
            </w:r>
          </w:p>
        </w:tc>
        <w:tc>
          <w:tcPr>
            <w:tcW w:w="630" w:type="dxa"/>
            <w:vAlign w:val="center"/>
          </w:tcPr>
          <w:p w14:paraId="0A1B857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(3,4)</w:t>
            </w:r>
          </w:p>
        </w:tc>
      </w:tr>
      <w:tr w:rsidR="00AA677A" w:rsidRPr="00F67BC0" w14:paraId="729CB9D6" w14:textId="77777777" w:rsidTr="00972E4E">
        <w:trPr>
          <w:trHeight w:val="288"/>
          <w:jc w:val="center"/>
        </w:trPr>
        <w:tc>
          <w:tcPr>
            <w:tcW w:w="900" w:type="dxa"/>
            <w:tcBorders>
              <w:bottom w:val="single" w:sz="4" w:space="0" w:color="auto"/>
            </w:tcBorders>
            <w:vAlign w:val="center"/>
          </w:tcPr>
          <w:p w14:paraId="7D12DA3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w:t>
            </w:r>
          </w:p>
        </w:tc>
        <w:tc>
          <w:tcPr>
            <w:tcW w:w="1800" w:type="dxa"/>
            <w:tcBorders>
              <w:bottom w:val="single" w:sz="4" w:space="0" w:color="auto"/>
            </w:tcBorders>
            <w:vAlign w:val="center"/>
          </w:tcPr>
          <w:p w14:paraId="5749939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(1.87 ± 0.30) x 10</w:t>
            </w:r>
            <w:r w:rsidRPr="00F67BC0">
              <w:rPr>
                <w:rFonts w:ascii="Arial" w:hAnsi="Arial" w:cs="Arial"/>
                <w:sz w:val="18"/>
                <w:szCs w:val="18"/>
                <w:vertAlign w:val="superscript"/>
              </w:rPr>
              <w:t>-6</w:t>
            </w:r>
          </w:p>
        </w:tc>
        <w:tc>
          <w:tcPr>
            <w:tcW w:w="1170" w:type="dxa"/>
            <w:tcBorders>
              <w:bottom w:val="single" w:sz="4" w:space="0" w:color="auto"/>
            </w:tcBorders>
            <w:vAlign w:val="center"/>
          </w:tcPr>
          <w:p w14:paraId="3CB0098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0.69 ± 0.00</w:t>
            </w:r>
          </w:p>
        </w:tc>
        <w:tc>
          <w:tcPr>
            <w:tcW w:w="990" w:type="dxa"/>
            <w:tcBorders>
              <w:bottom w:val="single" w:sz="4" w:space="0" w:color="auto"/>
            </w:tcBorders>
            <w:vAlign w:val="center"/>
          </w:tcPr>
          <w:p w14:paraId="486B768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3.0 ± 0.0</w:t>
            </w:r>
          </w:p>
        </w:tc>
        <w:tc>
          <w:tcPr>
            <w:tcW w:w="1170" w:type="dxa"/>
            <w:tcBorders>
              <w:bottom w:val="single" w:sz="4" w:space="0" w:color="auto"/>
            </w:tcBorders>
            <w:vAlign w:val="center"/>
          </w:tcPr>
          <w:p w14:paraId="5DAF397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0.33 ± 0.02</w:t>
            </w:r>
          </w:p>
        </w:tc>
        <w:tc>
          <w:tcPr>
            <w:tcW w:w="1170" w:type="dxa"/>
            <w:tcBorders>
              <w:bottom w:val="single" w:sz="4" w:space="0" w:color="auto"/>
            </w:tcBorders>
            <w:vAlign w:val="center"/>
          </w:tcPr>
          <w:p w14:paraId="263C5FF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0.28 ± 0.01</w:t>
            </w:r>
          </w:p>
        </w:tc>
        <w:tc>
          <w:tcPr>
            <w:tcW w:w="1170" w:type="dxa"/>
            <w:tcBorders>
              <w:bottom w:val="single" w:sz="4" w:space="0" w:color="auto"/>
            </w:tcBorders>
            <w:vAlign w:val="center"/>
          </w:tcPr>
          <w:p w14:paraId="7539BF5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0.39 ± 0.02</w:t>
            </w:r>
          </w:p>
        </w:tc>
        <w:tc>
          <w:tcPr>
            <w:tcW w:w="1170" w:type="dxa"/>
            <w:tcBorders>
              <w:bottom w:val="single" w:sz="4" w:space="0" w:color="auto"/>
            </w:tcBorders>
            <w:vAlign w:val="center"/>
          </w:tcPr>
          <w:p w14:paraId="436DA90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0.40 ± 0.08</w:t>
            </w:r>
          </w:p>
        </w:tc>
        <w:tc>
          <w:tcPr>
            <w:tcW w:w="630" w:type="dxa"/>
            <w:tcBorders>
              <w:bottom w:val="single" w:sz="4" w:space="0" w:color="auto"/>
            </w:tcBorders>
            <w:vAlign w:val="center"/>
          </w:tcPr>
          <w:p w14:paraId="60FA04F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(2,2)</w:t>
            </w:r>
          </w:p>
        </w:tc>
      </w:tr>
    </w:tbl>
    <w:p w14:paraId="0192459A" w14:textId="77777777" w:rsidR="00AA677A" w:rsidRPr="00F67BC0" w:rsidRDefault="00AA677A" w:rsidP="00AA677A">
      <w:pPr>
        <w:jc w:val="both"/>
        <w:rPr>
          <w:rFonts w:ascii="Arial" w:hAnsi="Arial" w:cs="Arial"/>
          <w:sz w:val="18"/>
          <w:szCs w:val="18"/>
        </w:rPr>
      </w:pPr>
    </w:p>
    <w:p w14:paraId="6384C5FD" w14:textId="77777777" w:rsidR="00AA677A" w:rsidRPr="00F67BC0" w:rsidRDefault="00AA677A" w:rsidP="00AA677A">
      <w:pPr>
        <w:jc w:val="both"/>
        <w:rPr>
          <w:rFonts w:ascii="Arial" w:hAnsi="Arial" w:cs="Arial"/>
          <w:sz w:val="18"/>
          <w:szCs w:val="18"/>
        </w:rPr>
      </w:pPr>
    </w:p>
    <w:p w14:paraId="68290751" w14:textId="55A93CEE" w:rsidR="00AA677A" w:rsidRPr="00F67BC0" w:rsidRDefault="00AA677A">
      <w:pPr>
        <w:rPr>
          <w:rFonts w:ascii="Arial" w:hAnsi="Arial" w:cs="Arial"/>
          <w:b/>
          <w:sz w:val="18"/>
          <w:szCs w:val="18"/>
        </w:rPr>
      </w:pPr>
      <w:bookmarkStart w:id="0" w:name="_GoBack"/>
      <w:bookmarkEnd w:id="0"/>
    </w:p>
    <w:sectPr w:rsidR="00AA677A" w:rsidRPr="00F67BC0" w:rsidSect="00E11CC7">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2E8A" w14:textId="77777777" w:rsidR="00FA6662" w:rsidRDefault="00FA6662" w:rsidP="00230B84">
      <w:r>
        <w:separator/>
      </w:r>
    </w:p>
  </w:endnote>
  <w:endnote w:type="continuationSeparator" w:id="0">
    <w:p w14:paraId="0625C265" w14:textId="77777777" w:rsidR="00FA6662" w:rsidRDefault="00FA6662"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7591C03B"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31C72" w14:textId="77777777" w:rsidR="00FA6662" w:rsidRDefault="00FA6662" w:rsidP="00230B84">
      <w:r>
        <w:separator/>
      </w:r>
    </w:p>
  </w:footnote>
  <w:footnote w:type="continuationSeparator" w:id="0">
    <w:p w14:paraId="5A49D86D" w14:textId="77777777" w:rsidR="00FA6662" w:rsidRDefault="00FA6662"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4D4"/>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25AF"/>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3B8"/>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2E4E"/>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5587"/>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1CC7"/>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6662"/>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3F1C99-7CA7-2A4B-BCFA-4F728E4F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8</cp:revision>
  <cp:lastPrinted>2021-02-18T01:21:00Z</cp:lastPrinted>
  <dcterms:created xsi:type="dcterms:W3CDTF">2021-03-15T19:12:00Z</dcterms:created>
  <dcterms:modified xsi:type="dcterms:W3CDTF">2021-04-01T03:36:00Z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