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F680C" w14:textId="5B85C577" w:rsidR="00607100" w:rsidRDefault="003428A5" w:rsidP="003428A5">
      <w:pPr>
        <w:rPr>
          <w:b/>
          <w:noProof/>
          <w:sz w:val="32"/>
          <w:szCs w:val="32"/>
        </w:rPr>
      </w:pPr>
      <w:r w:rsidRPr="006A1585">
        <w:rPr>
          <w:b/>
          <w:noProof/>
          <w:sz w:val="32"/>
          <w:szCs w:val="32"/>
        </w:rPr>
        <w:t xml:space="preserve">Figure </w:t>
      </w:r>
      <w:r>
        <w:rPr>
          <w:b/>
          <w:noProof/>
          <w:sz w:val="32"/>
          <w:szCs w:val="32"/>
        </w:rPr>
        <w:t>6 – figure supplement 1a</w:t>
      </w:r>
    </w:p>
    <w:p w14:paraId="35F55C8B" w14:textId="77777777" w:rsidR="00607100" w:rsidRDefault="00607100" w:rsidP="003428A5">
      <w:pPr>
        <w:rPr>
          <w:b/>
          <w:noProof/>
          <w:sz w:val="32"/>
          <w:szCs w:val="32"/>
        </w:rPr>
      </w:pPr>
    </w:p>
    <w:p w14:paraId="66E9904C" w14:textId="77777777" w:rsidR="00607100" w:rsidRDefault="00607100" w:rsidP="00607100">
      <w:pPr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Black boxes indicate the part shown in the main figure</w:t>
      </w:r>
    </w:p>
    <w:p w14:paraId="29519578" w14:textId="77777777" w:rsidR="00607100" w:rsidRDefault="00607100" w:rsidP="00607100">
      <w:pPr>
        <w:rPr>
          <w:rFonts w:ascii="Arial" w:hAnsi="Arial" w:cs="Arial"/>
          <w:bCs/>
          <w:noProof/>
          <w:sz w:val="24"/>
          <w:szCs w:val="24"/>
        </w:rPr>
      </w:pPr>
      <w:r w:rsidRPr="00F8201B">
        <w:rPr>
          <w:rFonts w:ascii="Arial" w:hAnsi="Arial" w:cs="Arial"/>
          <w:bCs/>
          <w:noProof/>
          <w:color w:val="ED7D31" w:themeColor="accent2"/>
          <w:sz w:val="24"/>
          <w:szCs w:val="24"/>
        </w:rPr>
        <w:t>Orange boxes</w:t>
      </w:r>
      <w:r>
        <w:rPr>
          <w:rFonts w:ascii="Arial" w:hAnsi="Arial" w:cs="Arial"/>
          <w:bCs/>
          <w:noProof/>
          <w:sz w:val="24"/>
          <w:szCs w:val="24"/>
        </w:rPr>
        <w:t xml:space="preserve"> indicate the bands used for quantification</w:t>
      </w:r>
    </w:p>
    <w:p w14:paraId="63CFAC66" w14:textId="77777777" w:rsidR="00607100" w:rsidRDefault="00607100" w:rsidP="003428A5">
      <w:pPr>
        <w:rPr>
          <w:b/>
          <w:noProof/>
          <w:sz w:val="32"/>
          <w:szCs w:val="32"/>
        </w:rPr>
      </w:pPr>
    </w:p>
    <w:p w14:paraId="575F997A" w14:textId="3F25AFEC" w:rsidR="00F93B59" w:rsidRDefault="00607100"/>
    <w:p w14:paraId="7EE540C2" w14:textId="59523ADB" w:rsidR="003428A5" w:rsidRDefault="003428A5">
      <w:r>
        <w:rPr>
          <w:noProof/>
        </w:rPr>
        <w:drawing>
          <wp:inline distT="0" distB="0" distL="0" distR="0" wp14:anchorId="42A8BF6C" wp14:editId="2EC90958">
            <wp:extent cx="6368143" cy="5452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789" cy="546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2B26" w14:textId="77777777" w:rsidR="003428A5" w:rsidRDefault="003428A5"/>
    <w:sectPr w:rsidR="003428A5" w:rsidSect="00AE3D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8FB"/>
    <w:rsid w:val="000053FF"/>
    <w:rsid w:val="001C2DF9"/>
    <w:rsid w:val="001D7AF4"/>
    <w:rsid w:val="00246659"/>
    <w:rsid w:val="002916AB"/>
    <w:rsid w:val="003428A5"/>
    <w:rsid w:val="0044735B"/>
    <w:rsid w:val="00607100"/>
    <w:rsid w:val="008F68FB"/>
    <w:rsid w:val="00A42634"/>
    <w:rsid w:val="00AE3DCE"/>
    <w:rsid w:val="00C8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8A0899"/>
  <w15:chartTrackingRefBased/>
  <w15:docId w15:val="{32E03423-411C-4E9C-A76E-7E44230D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Hajdusits,Bence</dc:creator>
  <cp:keywords/>
  <dc:description/>
  <cp:lastModifiedBy>Hajdusits,Bence</cp:lastModifiedBy>
  <cp:revision>3</cp:revision>
  <dcterms:created xsi:type="dcterms:W3CDTF">2021-06-15T12:40:00Z</dcterms:created>
  <dcterms:modified xsi:type="dcterms:W3CDTF">2021-07-07T14:48:00Z</dcterms:modified>
</cp:coreProperties>
</file>