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F415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9F4154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9F415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F415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A5DB36C" w14:textId="77777777" w:rsidR="000D1D41" w:rsidRPr="00125190" w:rsidRDefault="000D1D41" w:rsidP="000D1D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does not apply to this work as the paper does not contain any population studies or </w:t>
      </w:r>
      <w:r>
        <w:rPr>
          <w:rFonts w:asciiTheme="minorHAnsi" w:hAnsiTheme="minorHAnsi"/>
          <w:i/>
        </w:rPr>
        <w:t xml:space="preserve">in </w:t>
      </w:r>
      <w:r w:rsidRPr="000B16BE">
        <w:rPr>
          <w:rFonts w:asciiTheme="minorHAnsi" w:hAnsiTheme="minorHAnsi"/>
          <w:i/>
        </w:rPr>
        <w:t>vivo</w:t>
      </w:r>
      <w:r>
        <w:rPr>
          <w:rFonts w:asciiTheme="minorHAnsi" w:hAnsiTheme="minorHAnsi"/>
        </w:rPr>
        <w:t xml:space="preserve"> experiments.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3303DCC" w14:textId="4CA5F19B" w:rsidR="0025043D" w:rsidRPr="0020201F" w:rsidRDefault="00861E5D" w:rsidP="00861E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lastRenderedPageBreak/>
        <w:t xml:space="preserve">• </w:t>
      </w:r>
      <w:r w:rsidR="0025043D" w:rsidRPr="0020201F">
        <w:rPr>
          <w:rFonts w:ascii="Arial" w:hAnsi="Arial" w:cs="Arial"/>
          <w:sz w:val="22"/>
          <w:szCs w:val="22"/>
        </w:rPr>
        <w:t xml:space="preserve">As stated </w:t>
      </w:r>
      <w:r w:rsidR="00821D1D">
        <w:rPr>
          <w:rFonts w:ascii="Arial" w:hAnsi="Arial" w:cs="Arial"/>
          <w:sz w:val="22"/>
          <w:szCs w:val="22"/>
        </w:rPr>
        <w:t>in the Methods</w:t>
      </w:r>
      <w:r w:rsidR="00662900" w:rsidRPr="005E2E31">
        <w:rPr>
          <w:rFonts w:ascii="Arial" w:hAnsi="Arial" w:cs="Arial"/>
          <w:color w:val="000000"/>
          <w:sz w:val="22"/>
          <w:szCs w:val="22"/>
        </w:rPr>
        <w:t>,</w:t>
      </w:r>
      <w:r w:rsidR="0025043D" w:rsidRPr="002020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201F">
        <w:rPr>
          <w:rFonts w:ascii="Arial" w:hAnsi="Arial" w:cs="Arial"/>
          <w:color w:val="000000"/>
          <w:sz w:val="22"/>
          <w:szCs w:val="22"/>
        </w:rPr>
        <w:t xml:space="preserve">all </w:t>
      </w:r>
      <w:r w:rsidR="0025043D" w:rsidRPr="0020201F">
        <w:rPr>
          <w:rFonts w:ascii="Arial" w:hAnsi="Arial" w:cs="Arial"/>
          <w:color w:val="000000"/>
          <w:sz w:val="22"/>
          <w:szCs w:val="22"/>
        </w:rPr>
        <w:t xml:space="preserve">experiments </w:t>
      </w:r>
      <w:r w:rsidRPr="0020201F">
        <w:rPr>
          <w:rFonts w:ascii="Arial" w:hAnsi="Arial" w:cs="Arial"/>
          <w:color w:val="000000"/>
          <w:sz w:val="22"/>
          <w:szCs w:val="22"/>
        </w:rPr>
        <w:t xml:space="preserve">that were quantified </w:t>
      </w:r>
      <w:r w:rsidR="0025043D" w:rsidRPr="0020201F">
        <w:rPr>
          <w:rFonts w:ascii="Arial" w:hAnsi="Arial" w:cs="Arial"/>
          <w:color w:val="000000"/>
          <w:sz w:val="22"/>
          <w:szCs w:val="22"/>
        </w:rPr>
        <w:t xml:space="preserve">were performed at least </w:t>
      </w:r>
      <w:r w:rsidR="0059244E" w:rsidRPr="0020201F">
        <w:rPr>
          <w:rFonts w:ascii="Arial" w:hAnsi="Arial" w:cs="Arial"/>
          <w:color w:val="000000"/>
          <w:sz w:val="22"/>
          <w:szCs w:val="22"/>
        </w:rPr>
        <w:t xml:space="preserve">in </w:t>
      </w:r>
      <w:r w:rsidR="006151E2" w:rsidRPr="0020201F">
        <w:rPr>
          <w:rFonts w:ascii="Arial" w:hAnsi="Arial" w:cs="Arial"/>
          <w:color w:val="000000"/>
          <w:sz w:val="22"/>
          <w:szCs w:val="22"/>
        </w:rPr>
        <w:t>triplicate</w:t>
      </w:r>
      <w:r w:rsidR="0025043D" w:rsidRPr="0020201F">
        <w:rPr>
          <w:rFonts w:ascii="Arial" w:hAnsi="Arial" w:cs="Arial"/>
          <w:color w:val="000000"/>
          <w:sz w:val="22"/>
          <w:szCs w:val="22"/>
        </w:rPr>
        <w:t xml:space="preserve"> as independent experiments (biological replicates)</w:t>
      </w:r>
      <w:r w:rsidR="006151E2" w:rsidRPr="0020201F">
        <w:rPr>
          <w:rFonts w:ascii="Arial" w:hAnsi="Arial" w:cs="Arial"/>
          <w:color w:val="000000"/>
          <w:sz w:val="22"/>
          <w:szCs w:val="22"/>
        </w:rPr>
        <w:t xml:space="preserve"> </w:t>
      </w:r>
      <w:r w:rsidR="0025043D" w:rsidRPr="0020201F">
        <w:rPr>
          <w:rFonts w:ascii="Arial" w:hAnsi="Arial" w:cs="Arial"/>
          <w:color w:val="000000"/>
          <w:sz w:val="22"/>
          <w:szCs w:val="22"/>
        </w:rPr>
        <w:t>for statistical analysis unless otherwise specified in the figure legends</w:t>
      </w:r>
      <w:r w:rsidRPr="0020201F">
        <w:rPr>
          <w:rFonts w:ascii="Arial" w:hAnsi="Arial" w:cs="Arial"/>
          <w:sz w:val="22"/>
          <w:szCs w:val="22"/>
        </w:rPr>
        <w:t>.</w:t>
      </w:r>
    </w:p>
    <w:p w14:paraId="2DB84800" w14:textId="38B67EB2" w:rsidR="00861E5D" w:rsidRPr="0020201F" w:rsidRDefault="00861E5D" w:rsidP="00861E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t>-</w:t>
      </w:r>
      <w:r w:rsidR="00821D1D">
        <w:rPr>
          <w:rFonts w:ascii="Arial" w:hAnsi="Arial" w:cs="Arial"/>
          <w:sz w:val="22"/>
          <w:szCs w:val="22"/>
        </w:rPr>
        <w:t xml:space="preserve"> </w:t>
      </w:r>
      <w:r w:rsidRPr="0020201F">
        <w:rPr>
          <w:rFonts w:ascii="Arial" w:hAnsi="Arial" w:cs="Arial"/>
          <w:sz w:val="22"/>
          <w:szCs w:val="22"/>
        </w:rPr>
        <w:t>For qPCR at least four or more biological replicates (independent experiments) were performed in technical duplicates.</w:t>
      </w:r>
    </w:p>
    <w:p w14:paraId="1F3856FD" w14:textId="4C274443" w:rsidR="00861E5D" w:rsidRPr="0020201F" w:rsidRDefault="00861E5D" w:rsidP="00861E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t>-</w:t>
      </w:r>
      <w:r w:rsidR="00821D1D">
        <w:rPr>
          <w:rFonts w:ascii="Arial" w:hAnsi="Arial" w:cs="Arial"/>
          <w:sz w:val="22"/>
          <w:szCs w:val="22"/>
        </w:rPr>
        <w:t xml:space="preserve"> </w:t>
      </w:r>
      <w:r w:rsidRPr="0020201F">
        <w:rPr>
          <w:rFonts w:ascii="Arial" w:hAnsi="Arial" w:cs="Arial"/>
          <w:sz w:val="22"/>
          <w:szCs w:val="22"/>
        </w:rPr>
        <w:t>For Luciferase assay</w:t>
      </w:r>
      <w:r w:rsidR="009C05D0">
        <w:rPr>
          <w:rFonts w:ascii="Arial" w:hAnsi="Arial" w:cs="Arial"/>
          <w:sz w:val="22"/>
          <w:szCs w:val="22"/>
        </w:rPr>
        <w:t>s</w:t>
      </w:r>
      <w:r w:rsidRPr="0020201F">
        <w:rPr>
          <w:rFonts w:ascii="Arial" w:hAnsi="Arial" w:cs="Arial"/>
          <w:sz w:val="22"/>
          <w:szCs w:val="22"/>
        </w:rPr>
        <w:t xml:space="preserve"> three or more biological experiments (independent experiments) were performed with four technical replicates. </w:t>
      </w:r>
    </w:p>
    <w:p w14:paraId="30487A24" w14:textId="197290C3" w:rsidR="00861E5D" w:rsidRDefault="00861E5D" w:rsidP="00861E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t>-</w:t>
      </w:r>
      <w:r w:rsidR="00821D1D">
        <w:rPr>
          <w:rFonts w:ascii="Arial" w:hAnsi="Arial" w:cs="Arial"/>
          <w:sz w:val="22"/>
          <w:szCs w:val="22"/>
        </w:rPr>
        <w:t xml:space="preserve"> </w:t>
      </w:r>
      <w:r w:rsidR="009C05D0">
        <w:rPr>
          <w:rFonts w:ascii="Arial" w:hAnsi="Arial" w:cs="Arial"/>
          <w:sz w:val="22"/>
          <w:szCs w:val="22"/>
        </w:rPr>
        <w:t xml:space="preserve">For </w:t>
      </w:r>
      <w:r w:rsidRPr="0020201F">
        <w:rPr>
          <w:rFonts w:ascii="Arial" w:hAnsi="Arial" w:cs="Arial"/>
          <w:sz w:val="22"/>
          <w:szCs w:val="22"/>
        </w:rPr>
        <w:t xml:space="preserve">Flow Cytometry and </w:t>
      </w:r>
      <w:r w:rsidR="009C05D0">
        <w:rPr>
          <w:rFonts w:ascii="Arial" w:hAnsi="Arial" w:cs="Arial"/>
          <w:sz w:val="22"/>
          <w:szCs w:val="22"/>
        </w:rPr>
        <w:t>W</w:t>
      </w:r>
      <w:r w:rsidRPr="0020201F">
        <w:rPr>
          <w:rFonts w:ascii="Arial" w:hAnsi="Arial" w:cs="Arial"/>
          <w:sz w:val="22"/>
          <w:szCs w:val="22"/>
        </w:rPr>
        <w:t>estern blot quantification at least four biological replicates (independent experiments) were used.</w:t>
      </w:r>
    </w:p>
    <w:p w14:paraId="506B0A8B" w14:textId="15329AB5" w:rsidR="002572C6" w:rsidRPr="0020201F" w:rsidRDefault="002572C6" w:rsidP="00861E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21D1D">
        <w:rPr>
          <w:rFonts w:ascii="Arial" w:hAnsi="Arial" w:cs="Arial"/>
          <w:sz w:val="22"/>
          <w:szCs w:val="22"/>
        </w:rPr>
        <w:t xml:space="preserve"> </w:t>
      </w:r>
      <w:r w:rsidRPr="005E2E31">
        <w:rPr>
          <w:rFonts w:ascii="Arial" w:hAnsi="Arial" w:cs="Arial"/>
          <w:sz w:val="22"/>
          <w:szCs w:val="22"/>
        </w:rPr>
        <w:t>For peptide array</w:t>
      </w:r>
      <w:r w:rsidR="005C7FB7" w:rsidRPr="005E2E31">
        <w:rPr>
          <w:rFonts w:ascii="Arial" w:hAnsi="Arial" w:cs="Arial"/>
          <w:sz w:val="22"/>
          <w:szCs w:val="22"/>
        </w:rPr>
        <w:t xml:space="preserve"> experiments quantification was performed from two independent experiments</w:t>
      </w:r>
      <w:r w:rsidR="005C7FB7">
        <w:rPr>
          <w:rFonts w:ascii="Arial" w:hAnsi="Arial" w:cs="Arial"/>
          <w:sz w:val="22"/>
          <w:szCs w:val="22"/>
        </w:rPr>
        <w:t>.</w:t>
      </w:r>
    </w:p>
    <w:p w14:paraId="161E5F31" w14:textId="5165CB99" w:rsidR="00861E5D" w:rsidRPr="0020201F" w:rsidRDefault="00861E5D" w:rsidP="00861E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t>• For all other experiments a representative of at least two biological independent</w:t>
      </w:r>
      <w:r w:rsidR="00662900">
        <w:rPr>
          <w:rFonts w:ascii="Arial" w:hAnsi="Arial" w:cs="Arial"/>
          <w:sz w:val="22"/>
          <w:szCs w:val="22"/>
        </w:rPr>
        <w:t xml:space="preserve"> replicates </w:t>
      </w:r>
      <w:r w:rsidRPr="0020201F">
        <w:rPr>
          <w:rFonts w:ascii="Arial" w:hAnsi="Arial" w:cs="Arial"/>
          <w:sz w:val="22"/>
          <w:szCs w:val="22"/>
        </w:rPr>
        <w:t>is shown</w:t>
      </w:r>
      <w:r w:rsidRPr="004B7669">
        <w:rPr>
          <w:rFonts w:ascii="Arial" w:hAnsi="Arial" w:cs="Arial"/>
          <w:sz w:val="22"/>
          <w:szCs w:val="22"/>
        </w:rPr>
        <w:t>.</w:t>
      </w:r>
    </w:p>
    <w:p w14:paraId="1CE0F32D" w14:textId="49408F1D" w:rsidR="00015BB6" w:rsidRPr="0020201F" w:rsidRDefault="006151E2" w:rsidP="004B766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t>•</w:t>
      </w:r>
      <w:r w:rsidR="00861E5D" w:rsidRPr="0020201F">
        <w:rPr>
          <w:rFonts w:ascii="Arial" w:hAnsi="Arial" w:cs="Arial"/>
          <w:sz w:val="22"/>
          <w:szCs w:val="22"/>
        </w:rPr>
        <w:t xml:space="preserve"> </w:t>
      </w:r>
      <w:r w:rsidRPr="0020201F">
        <w:rPr>
          <w:rFonts w:ascii="Arial" w:hAnsi="Arial" w:cs="Arial"/>
          <w:sz w:val="22"/>
          <w:szCs w:val="22"/>
        </w:rPr>
        <w:t xml:space="preserve">RNA sequencing experiments are the mean of </w:t>
      </w:r>
      <w:r w:rsidRPr="0020201F">
        <w:rPr>
          <w:rFonts w:ascii="Arial" w:hAnsi="Arial" w:cs="Arial"/>
          <w:color w:val="000000" w:themeColor="text1"/>
          <w:sz w:val="22"/>
          <w:szCs w:val="22"/>
        </w:rPr>
        <w:t>four biological replicates</w:t>
      </w:r>
      <w:r w:rsidRPr="004B7669">
        <w:rPr>
          <w:rFonts w:ascii="Arial" w:hAnsi="Arial" w:cs="Arial"/>
          <w:color w:val="000000" w:themeColor="text1"/>
          <w:sz w:val="22"/>
          <w:szCs w:val="22"/>
        </w:rPr>
        <w:t>.</w:t>
      </w:r>
      <w:r w:rsidRPr="0020201F">
        <w:rPr>
          <w:rFonts w:ascii="Arial" w:hAnsi="Arial" w:cs="Arial"/>
          <w:color w:val="000000" w:themeColor="text1"/>
          <w:sz w:val="22"/>
          <w:szCs w:val="22"/>
        </w:rPr>
        <w:t xml:space="preserve"> Validation of RNA seq data</w:t>
      </w:r>
      <w:r w:rsidR="00861E5D" w:rsidRPr="0020201F">
        <w:rPr>
          <w:rFonts w:ascii="Arial" w:hAnsi="Arial" w:cs="Arial"/>
          <w:color w:val="000000" w:themeColor="text1"/>
          <w:sz w:val="22"/>
          <w:szCs w:val="22"/>
        </w:rPr>
        <w:t xml:space="preserve"> performed by qPCR analysis is </w:t>
      </w:r>
      <w:r w:rsidR="00015BB6" w:rsidRPr="0020201F">
        <w:rPr>
          <w:rFonts w:ascii="Arial" w:hAnsi="Arial" w:cs="Arial"/>
          <w:color w:val="000000" w:themeColor="text1"/>
          <w:sz w:val="22"/>
          <w:szCs w:val="22"/>
        </w:rPr>
        <w:t>the average of at least 4 biological experiments performed in technical duplicate.</w:t>
      </w:r>
    </w:p>
    <w:p w14:paraId="7337D22E" w14:textId="358B0D5B" w:rsidR="00015BB6" w:rsidRDefault="00015BB6" w:rsidP="004B766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t>•</w:t>
      </w:r>
      <w:r w:rsidR="00861E5D" w:rsidRPr="0020201F">
        <w:rPr>
          <w:rFonts w:ascii="Arial" w:hAnsi="Arial" w:cs="Arial"/>
          <w:sz w:val="22"/>
          <w:szCs w:val="22"/>
        </w:rPr>
        <w:t xml:space="preserve"> </w:t>
      </w:r>
      <w:r w:rsidRPr="0020201F">
        <w:rPr>
          <w:rFonts w:ascii="Arial" w:hAnsi="Arial" w:cs="Arial"/>
          <w:sz w:val="22"/>
          <w:szCs w:val="22"/>
        </w:rPr>
        <w:t xml:space="preserve">Criteria used for RNA-seq data analyses and information regarding the generation of the different datasets presented in the work are described </w:t>
      </w:r>
      <w:r w:rsidR="00821D1D">
        <w:rPr>
          <w:rFonts w:ascii="Arial" w:hAnsi="Arial" w:cs="Arial"/>
          <w:sz w:val="22"/>
          <w:szCs w:val="22"/>
        </w:rPr>
        <w:t>in the Methods</w:t>
      </w:r>
      <w:r w:rsidRPr="004B7669">
        <w:rPr>
          <w:rFonts w:ascii="Arial" w:hAnsi="Arial" w:cs="Arial"/>
          <w:sz w:val="22"/>
          <w:szCs w:val="22"/>
        </w:rPr>
        <w:t>.</w:t>
      </w:r>
    </w:p>
    <w:p w14:paraId="45A43597" w14:textId="77777777" w:rsidR="00015BB6" w:rsidRPr="0020201F" w:rsidRDefault="00015BB6" w:rsidP="00861E5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D4299A9" w14:textId="4DC0BADF" w:rsidR="00015BB6" w:rsidRPr="0020201F" w:rsidRDefault="00015BB6" w:rsidP="004B766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t>•</w:t>
      </w:r>
      <w:r w:rsidR="00861E5D" w:rsidRPr="0020201F">
        <w:rPr>
          <w:rFonts w:ascii="Arial" w:hAnsi="Arial" w:cs="Arial"/>
          <w:sz w:val="22"/>
          <w:szCs w:val="22"/>
        </w:rPr>
        <w:t xml:space="preserve"> </w:t>
      </w:r>
      <w:r w:rsidRPr="0020201F">
        <w:rPr>
          <w:rFonts w:ascii="Arial" w:hAnsi="Arial" w:cs="Arial"/>
          <w:sz w:val="22"/>
          <w:szCs w:val="22"/>
        </w:rPr>
        <w:t xml:space="preserve">RNA-seq data have been submitted </w:t>
      </w:r>
      <w:r w:rsidRPr="004B7669">
        <w:rPr>
          <w:rFonts w:ascii="Arial" w:hAnsi="Arial" w:cs="Arial"/>
          <w:sz w:val="22"/>
          <w:szCs w:val="22"/>
        </w:rPr>
        <w:t xml:space="preserve">to the </w:t>
      </w:r>
      <w:r w:rsidR="005C7FB7" w:rsidRPr="004B7669">
        <w:rPr>
          <w:rFonts w:ascii="Arial" w:hAnsi="Arial" w:cs="Arial"/>
          <w:sz w:val="22"/>
          <w:szCs w:val="22"/>
        </w:rPr>
        <w:t>European Genome-phenome Archive</w:t>
      </w:r>
      <w:r w:rsidRPr="004B7669">
        <w:rPr>
          <w:rFonts w:ascii="Arial" w:hAnsi="Arial" w:cs="Arial"/>
          <w:sz w:val="22"/>
          <w:szCs w:val="22"/>
        </w:rPr>
        <w:t xml:space="preserve"> (</w:t>
      </w:r>
      <w:r w:rsidR="005C7FB7" w:rsidRPr="004B7669">
        <w:rPr>
          <w:rFonts w:ascii="Arial" w:hAnsi="Arial" w:cs="Arial"/>
          <w:sz w:val="22"/>
          <w:szCs w:val="22"/>
        </w:rPr>
        <w:t>EGA</w:t>
      </w:r>
      <w:r w:rsidRPr="004B7669">
        <w:rPr>
          <w:rFonts w:ascii="Arial" w:hAnsi="Arial" w:cs="Arial"/>
          <w:sz w:val="22"/>
          <w:szCs w:val="22"/>
        </w:rPr>
        <w:t xml:space="preserve">) under the accession number </w:t>
      </w:r>
      <w:r w:rsidR="004B7669" w:rsidRPr="004B7669">
        <w:rPr>
          <w:rFonts w:ascii="Arial" w:hAnsi="Arial" w:cs="Arial"/>
          <w:sz w:val="22"/>
          <w:szCs w:val="22"/>
        </w:rPr>
        <w:t>EG</w:t>
      </w:r>
      <w:r w:rsidR="004B7669" w:rsidRPr="00D56905">
        <w:rPr>
          <w:rFonts w:ascii="Arial" w:hAnsi="Arial" w:cs="Arial"/>
          <w:sz w:val="22"/>
          <w:szCs w:val="22"/>
        </w:rPr>
        <w:t>AS00001004908</w:t>
      </w:r>
      <w:r w:rsidR="004B7669">
        <w:rPr>
          <w:rFonts w:ascii="Arial" w:hAnsi="Arial" w:cs="Arial"/>
          <w:sz w:val="22"/>
          <w:szCs w:val="22"/>
        </w:rPr>
        <w:t>.</w:t>
      </w:r>
    </w:p>
    <w:p w14:paraId="60DD2A43" w14:textId="1FAB3D42" w:rsidR="00015BB6" w:rsidRDefault="00015BB6" w:rsidP="0061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59DC8E" w14:textId="1D6EE351" w:rsidR="00015BB6" w:rsidRDefault="00015BB6" w:rsidP="0061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1368F3" w14:textId="7DAE19E6" w:rsidR="00015BB6" w:rsidRDefault="00015BB6" w:rsidP="0061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2494C7" w14:textId="77777777" w:rsidR="00015BB6" w:rsidRPr="00125190" w:rsidRDefault="00015BB6" w:rsidP="0061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7090F52" w14:textId="35F6F7AB" w:rsidR="00861E5D" w:rsidRPr="0020201F" w:rsidRDefault="00861E5D" w:rsidP="00861E5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color w:val="000000"/>
          <w:sz w:val="22"/>
          <w:szCs w:val="22"/>
        </w:rPr>
        <w:t xml:space="preserve">As </w:t>
      </w:r>
      <w:r w:rsidR="0020201F" w:rsidRPr="0020201F">
        <w:rPr>
          <w:rFonts w:ascii="Arial" w:hAnsi="Arial" w:cs="Arial"/>
          <w:color w:val="000000"/>
          <w:sz w:val="22"/>
          <w:szCs w:val="22"/>
        </w:rPr>
        <w:t>described</w:t>
      </w:r>
      <w:r w:rsidR="00662900">
        <w:rPr>
          <w:rFonts w:ascii="Arial" w:hAnsi="Arial" w:cs="Arial"/>
          <w:color w:val="000000"/>
          <w:sz w:val="22"/>
          <w:szCs w:val="22"/>
        </w:rPr>
        <w:t xml:space="preserve"> </w:t>
      </w:r>
      <w:r w:rsidR="00821D1D">
        <w:rPr>
          <w:rFonts w:ascii="Arial" w:hAnsi="Arial" w:cs="Arial"/>
          <w:color w:val="000000"/>
          <w:sz w:val="22"/>
          <w:szCs w:val="22"/>
        </w:rPr>
        <w:t>in the Methods</w:t>
      </w:r>
      <w:bookmarkStart w:id="0" w:name="_GoBack"/>
      <w:bookmarkEnd w:id="0"/>
      <w:r w:rsidR="0020201F" w:rsidRPr="004B7669">
        <w:rPr>
          <w:rFonts w:ascii="Arial" w:hAnsi="Arial" w:cs="Arial"/>
          <w:color w:val="000000"/>
          <w:sz w:val="22"/>
          <w:szCs w:val="22"/>
        </w:rPr>
        <w:t>,</w:t>
      </w:r>
      <w:r w:rsidR="0020201F" w:rsidRPr="0020201F">
        <w:rPr>
          <w:rFonts w:ascii="Arial" w:hAnsi="Arial" w:cs="Arial"/>
          <w:color w:val="000000"/>
          <w:sz w:val="22"/>
          <w:szCs w:val="22"/>
        </w:rPr>
        <w:t xml:space="preserve"> </w:t>
      </w:r>
      <w:r w:rsidR="009C05D0">
        <w:rPr>
          <w:rFonts w:ascii="Arial" w:hAnsi="Arial" w:cs="Arial"/>
          <w:color w:val="000000"/>
          <w:sz w:val="22"/>
          <w:szCs w:val="22"/>
        </w:rPr>
        <w:t>for all experiments where data was quantified, the</w:t>
      </w:r>
      <w:r w:rsidRPr="0020201F">
        <w:rPr>
          <w:rFonts w:ascii="Arial" w:hAnsi="Arial" w:cs="Arial"/>
          <w:color w:val="000000"/>
          <w:sz w:val="22"/>
          <w:szCs w:val="22"/>
        </w:rPr>
        <w:t xml:space="preserve"> normalized values were log transformed</w:t>
      </w:r>
      <w:r w:rsidRPr="0020201F">
        <w:rPr>
          <w:rFonts w:ascii="Arial" w:hAnsi="Arial" w:cs="Arial"/>
          <w:sz w:val="22"/>
          <w:szCs w:val="22"/>
        </w:rPr>
        <w:t xml:space="preserve"> for the statistical analysis. </w:t>
      </w:r>
      <w:r w:rsidR="0020201F" w:rsidRPr="0020201F">
        <w:rPr>
          <w:rFonts w:ascii="Arial" w:hAnsi="Arial" w:cs="Arial"/>
          <w:color w:val="000000"/>
          <w:sz w:val="22"/>
          <w:szCs w:val="22"/>
        </w:rPr>
        <w:t xml:space="preserve">Statistical analysis was performed in Prism 8 (GraphPad). </w:t>
      </w:r>
      <w:r w:rsidRPr="0020201F">
        <w:rPr>
          <w:rFonts w:ascii="Arial" w:hAnsi="Arial" w:cs="Arial"/>
          <w:sz w:val="22"/>
          <w:szCs w:val="22"/>
        </w:rPr>
        <w:t>For comparison between more than two groups with one variable</w:t>
      </w:r>
      <w:r w:rsidR="009C05D0">
        <w:rPr>
          <w:rFonts w:ascii="Arial" w:hAnsi="Arial" w:cs="Arial"/>
          <w:sz w:val="22"/>
          <w:szCs w:val="22"/>
        </w:rPr>
        <w:t>,</w:t>
      </w:r>
      <w:r w:rsidRPr="0020201F">
        <w:rPr>
          <w:rFonts w:ascii="Arial" w:hAnsi="Arial" w:cs="Arial"/>
          <w:sz w:val="22"/>
          <w:szCs w:val="22"/>
        </w:rPr>
        <w:t xml:space="preserve"> one-way analysis of variance (</w:t>
      </w:r>
      <w:proofErr w:type="spellStart"/>
      <w:r w:rsidRPr="0020201F">
        <w:rPr>
          <w:rFonts w:ascii="Arial" w:hAnsi="Arial" w:cs="Arial"/>
          <w:sz w:val="22"/>
          <w:szCs w:val="22"/>
        </w:rPr>
        <w:t>Anova</w:t>
      </w:r>
      <w:proofErr w:type="spellEnd"/>
      <w:r w:rsidRPr="0020201F">
        <w:rPr>
          <w:rFonts w:ascii="Arial" w:hAnsi="Arial" w:cs="Arial"/>
          <w:sz w:val="22"/>
          <w:szCs w:val="22"/>
        </w:rPr>
        <w:t xml:space="preserve">) was used followed by the </w:t>
      </w:r>
      <w:proofErr w:type="spellStart"/>
      <w:r w:rsidRPr="0020201F">
        <w:rPr>
          <w:rFonts w:ascii="Arial" w:hAnsi="Arial" w:cs="Arial"/>
          <w:sz w:val="22"/>
          <w:szCs w:val="22"/>
        </w:rPr>
        <w:t>Sidak’s</w:t>
      </w:r>
      <w:proofErr w:type="spellEnd"/>
      <w:r w:rsidRPr="0020201F">
        <w:rPr>
          <w:rFonts w:ascii="Arial" w:hAnsi="Arial" w:cs="Arial"/>
          <w:sz w:val="22"/>
          <w:szCs w:val="22"/>
        </w:rPr>
        <w:t xml:space="preserve"> correction test. For comparison between groups that ha</w:t>
      </w:r>
      <w:r w:rsidR="009C05D0">
        <w:rPr>
          <w:rFonts w:ascii="Arial" w:hAnsi="Arial" w:cs="Arial"/>
          <w:sz w:val="22"/>
          <w:szCs w:val="22"/>
        </w:rPr>
        <w:t>d</w:t>
      </w:r>
      <w:r w:rsidRPr="0020201F">
        <w:rPr>
          <w:rFonts w:ascii="Arial" w:hAnsi="Arial" w:cs="Arial"/>
          <w:sz w:val="22"/>
          <w:szCs w:val="22"/>
        </w:rPr>
        <w:t xml:space="preserve"> been split on two independent variables, two-way analysis of variance (</w:t>
      </w:r>
      <w:proofErr w:type="spellStart"/>
      <w:r w:rsidRPr="0020201F">
        <w:rPr>
          <w:rFonts w:ascii="Arial" w:hAnsi="Arial" w:cs="Arial"/>
          <w:sz w:val="22"/>
          <w:szCs w:val="22"/>
        </w:rPr>
        <w:t>Anova</w:t>
      </w:r>
      <w:proofErr w:type="spellEnd"/>
      <w:r w:rsidRPr="0020201F">
        <w:rPr>
          <w:rFonts w:ascii="Arial" w:hAnsi="Arial" w:cs="Arial"/>
          <w:sz w:val="22"/>
          <w:szCs w:val="22"/>
        </w:rPr>
        <w:t xml:space="preserve">) was performed followed by Tukey’s multiple comparison tests.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4DE5CE" w:rsidR="00BC3CCE" w:rsidRPr="0020201F" w:rsidRDefault="002020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20201F">
        <w:rPr>
          <w:rFonts w:ascii="Arial" w:hAnsi="Arial" w:cs="Arial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619F4DBC" w14:textId="77777777" w:rsidR="0082633C" w:rsidRPr="009A67DF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9A67DF">
        <w:rPr>
          <w:rFonts w:ascii="Arial" w:hAnsi="Arial" w:cs="Arial"/>
          <w:b/>
          <w:sz w:val="22"/>
        </w:rPr>
        <w:t>Figure 1 – Source data 1</w:t>
      </w:r>
    </w:p>
    <w:p w14:paraId="37760368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E7E95">
        <w:rPr>
          <w:rFonts w:ascii="Arial" w:hAnsi="Arial" w:cs="Arial"/>
          <w:sz w:val="22"/>
          <w:szCs w:val="22"/>
        </w:rPr>
        <w:t>Sequences of knockout alleles made in HEK293T cells.</w:t>
      </w:r>
    </w:p>
    <w:p w14:paraId="456D8C04" w14:textId="77777777" w:rsidR="0082633C" w:rsidRPr="009A67DF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9A67DF">
        <w:rPr>
          <w:rFonts w:ascii="Arial" w:hAnsi="Arial" w:cs="Arial"/>
          <w:b/>
          <w:sz w:val="22"/>
        </w:rPr>
        <w:t>Figure 1 Supplement 1 – Source data 1</w:t>
      </w:r>
    </w:p>
    <w:p w14:paraId="16A14A20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</w:rPr>
      </w:pPr>
      <w:r w:rsidRPr="00DE7E95">
        <w:rPr>
          <w:rFonts w:ascii="Arial" w:hAnsi="Arial" w:cs="Arial"/>
          <w:sz w:val="22"/>
          <w:szCs w:val="22"/>
        </w:rPr>
        <w:t>Luciferase assay data for HEK293T S4</w:t>
      </w:r>
      <w:r>
        <w:rPr>
          <w:rFonts w:ascii="Arial" w:hAnsi="Arial" w:cs="Arial"/>
          <w:sz w:val="22"/>
          <w:szCs w:val="22"/>
        </w:rPr>
        <w:t xml:space="preserve"> </w:t>
      </w:r>
      <w:r w:rsidRPr="00DE7E95">
        <w:rPr>
          <w:rFonts w:ascii="Arial" w:hAnsi="Arial" w:cs="Arial"/>
          <w:sz w:val="22"/>
          <w:szCs w:val="22"/>
        </w:rPr>
        <w:t>KO clones</w:t>
      </w:r>
      <w:r>
        <w:rPr>
          <w:rFonts w:ascii="Arial" w:hAnsi="Arial" w:cs="Arial"/>
          <w:sz w:val="22"/>
          <w:szCs w:val="22"/>
        </w:rPr>
        <w:t>, as presented in Figure 1 Supplement 1A.</w:t>
      </w:r>
    </w:p>
    <w:p w14:paraId="44A56AD7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9A67DF">
        <w:rPr>
          <w:rFonts w:ascii="Arial" w:hAnsi="Arial" w:cs="Arial"/>
          <w:b/>
          <w:sz w:val="22"/>
        </w:rPr>
        <w:t>Figure 1 Supplement 1 – Source data 2</w:t>
      </w:r>
    </w:p>
    <w:p w14:paraId="1900A34F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</w:rPr>
      </w:pPr>
      <w:r w:rsidRPr="00DE7E95">
        <w:rPr>
          <w:rFonts w:ascii="Arial" w:hAnsi="Arial" w:cs="Arial"/>
          <w:sz w:val="22"/>
          <w:szCs w:val="22"/>
        </w:rPr>
        <w:t>Luciferase assay data for HaCaT S4</w:t>
      </w:r>
      <w:r>
        <w:rPr>
          <w:rFonts w:ascii="Arial" w:hAnsi="Arial" w:cs="Arial"/>
          <w:sz w:val="22"/>
          <w:szCs w:val="22"/>
        </w:rPr>
        <w:t xml:space="preserve"> </w:t>
      </w:r>
      <w:r w:rsidRPr="00DE7E95">
        <w:rPr>
          <w:rFonts w:ascii="Arial" w:hAnsi="Arial" w:cs="Arial"/>
          <w:sz w:val="22"/>
          <w:szCs w:val="22"/>
        </w:rPr>
        <w:t>KO clones</w:t>
      </w:r>
      <w:r>
        <w:rPr>
          <w:rFonts w:ascii="Arial" w:hAnsi="Arial" w:cs="Arial"/>
          <w:sz w:val="22"/>
          <w:szCs w:val="22"/>
        </w:rPr>
        <w:t>, as presented in Figure 1 Supplement 1B.</w:t>
      </w:r>
    </w:p>
    <w:p w14:paraId="4885C213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9A67DF">
        <w:rPr>
          <w:rFonts w:ascii="Arial" w:hAnsi="Arial" w:cs="Arial"/>
          <w:b/>
          <w:sz w:val="22"/>
        </w:rPr>
        <w:t>Figure 1 Supplement 1 – Source data 3</w:t>
      </w:r>
    </w:p>
    <w:p w14:paraId="4E732B78" w14:textId="77777777" w:rsidR="0082633C" w:rsidRPr="009A67DF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DE7E95">
        <w:rPr>
          <w:rFonts w:ascii="Arial" w:hAnsi="Arial" w:cs="Arial"/>
          <w:sz w:val="22"/>
          <w:szCs w:val="22"/>
        </w:rPr>
        <w:t>qPCR data for HaCaT S4</w:t>
      </w:r>
      <w:r>
        <w:rPr>
          <w:rFonts w:ascii="Arial" w:hAnsi="Arial" w:cs="Arial"/>
          <w:sz w:val="22"/>
          <w:szCs w:val="22"/>
        </w:rPr>
        <w:t xml:space="preserve"> </w:t>
      </w:r>
      <w:r w:rsidRPr="00DE7E95">
        <w:rPr>
          <w:rFonts w:ascii="Arial" w:hAnsi="Arial" w:cs="Arial"/>
          <w:sz w:val="22"/>
          <w:szCs w:val="22"/>
        </w:rPr>
        <w:t>KO clones</w:t>
      </w:r>
      <w:r>
        <w:rPr>
          <w:rFonts w:ascii="Arial" w:hAnsi="Arial" w:cs="Arial"/>
          <w:sz w:val="22"/>
          <w:szCs w:val="22"/>
        </w:rPr>
        <w:t>, as presented in Figure 1 Supplement 1C</w:t>
      </w:r>
    </w:p>
    <w:p w14:paraId="335768E5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2 – Source data 1</w:t>
      </w:r>
    </w:p>
    <w:p w14:paraId="3B5FEBEA" w14:textId="77777777" w:rsidR="0082633C" w:rsidRPr="00EE28B6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</w:rPr>
      </w:pPr>
      <w:r w:rsidRPr="00DE7E95">
        <w:rPr>
          <w:rFonts w:ascii="Arial" w:hAnsi="Arial" w:cs="Arial"/>
          <w:sz w:val="22"/>
          <w:szCs w:val="22"/>
        </w:rPr>
        <w:t>Quantification of Western blot for HaCaT S4</w:t>
      </w:r>
      <w:r>
        <w:rPr>
          <w:rFonts w:ascii="Arial" w:hAnsi="Arial" w:cs="Arial"/>
          <w:sz w:val="22"/>
          <w:szCs w:val="22"/>
        </w:rPr>
        <w:t xml:space="preserve"> </w:t>
      </w:r>
      <w:r w:rsidRPr="00DE7E95">
        <w:rPr>
          <w:rFonts w:ascii="Arial" w:hAnsi="Arial" w:cs="Arial"/>
          <w:sz w:val="22"/>
          <w:szCs w:val="22"/>
        </w:rPr>
        <w:t>KO rescue cell lines</w:t>
      </w:r>
      <w:r>
        <w:rPr>
          <w:rFonts w:ascii="Arial" w:hAnsi="Arial" w:cs="Arial"/>
          <w:sz w:val="22"/>
          <w:szCs w:val="22"/>
        </w:rPr>
        <w:t>, as presented in Figure 2B</w:t>
      </w:r>
    </w:p>
    <w:p w14:paraId="69EA37DD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2 – Source data 2</w:t>
      </w:r>
    </w:p>
    <w:p w14:paraId="596DFA8A" w14:textId="77777777" w:rsidR="0082633C" w:rsidRPr="00EE28B6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</w:rPr>
      </w:pPr>
      <w:r w:rsidRPr="006073AD">
        <w:rPr>
          <w:rFonts w:ascii="Arial" w:hAnsi="Arial" w:cs="Arial"/>
          <w:sz w:val="22"/>
          <w:szCs w:val="22"/>
        </w:rPr>
        <w:t>Flow cytometry data for HaCaT S4 KO rescue cell lines</w:t>
      </w:r>
      <w:r>
        <w:rPr>
          <w:rFonts w:ascii="Arial" w:hAnsi="Arial" w:cs="Arial"/>
          <w:sz w:val="22"/>
          <w:szCs w:val="22"/>
        </w:rPr>
        <w:t>, as presented in Figure 2C</w:t>
      </w:r>
    </w:p>
    <w:p w14:paraId="6B31777E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2 Supplement 1 – Source data 1</w:t>
      </w:r>
    </w:p>
    <w:p w14:paraId="63C2042C" w14:textId="77777777" w:rsidR="0082633C" w:rsidRPr="003F75BB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6073AD">
        <w:rPr>
          <w:rFonts w:ascii="Arial" w:hAnsi="Arial" w:cs="Arial"/>
          <w:sz w:val="22"/>
          <w:szCs w:val="22"/>
        </w:rPr>
        <w:t>Luciferase assays data for HaCaT S4 KO rescue cell lines</w:t>
      </w:r>
      <w:r>
        <w:rPr>
          <w:rFonts w:ascii="Arial" w:hAnsi="Arial" w:cs="Arial"/>
          <w:sz w:val="22"/>
          <w:szCs w:val="22"/>
        </w:rPr>
        <w:t>, as presented in Figure 2 Supplement 1A</w:t>
      </w:r>
    </w:p>
    <w:p w14:paraId="2526FF4D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2 Supplement 1 – Source data 2</w:t>
      </w:r>
    </w:p>
    <w:p w14:paraId="641CF55A" w14:textId="77777777" w:rsidR="0082633C" w:rsidRPr="00EE28B6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</w:rPr>
      </w:pPr>
      <w:r w:rsidRPr="006073AD">
        <w:rPr>
          <w:rFonts w:ascii="Arial" w:hAnsi="Arial" w:cs="Arial"/>
          <w:sz w:val="22"/>
          <w:szCs w:val="22"/>
        </w:rPr>
        <w:t>qPCR data for HaCaT S4</w:t>
      </w:r>
      <w:r>
        <w:rPr>
          <w:rFonts w:ascii="Arial" w:hAnsi="Arial" w:cs="Arial"/>
          <w:sz w:val="22"/>
          <w:szCs w:val="22"/>
        </w:rPr>
        <w:t xml:space="preserve"> </w:t>
      </w:r>
      <w:r w:rsidRPr="006073AD">
        <w:rPr>
          <w:rFonts w:ascii="Arial" w:hAnsi="Arial" w:cs="Arial"/>
          <w:sz w:val="22"/>
          <w:szCs w:val="22"/>
        </w:rPr>
        <w:t>KO rescue cell lines</w:t>
      </w:r>
      <w:r>
        <w:rPr>
          <w:rFonts w:ascii="Arial" w:hAnsi="Arial" w:cs="Arial"/>
          <w:sz w:val="22"/>
          <w:szCs w:val="22"/>
        </w:rPr>
        <w:t>, as presented in Figure 2 Supplement 1B</w:t>
      </w:r>
    </w:p>
    <w:p w14:paraId="45FD695E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4 – Source data 1</w:t>
      </w:r>
    </w:p>
    <w:p w14:paraId="25C015AA" w14:textId="77777777" w:rsidR="0082633C" w:rsidRPr="006073AD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6073AD">
        <w:rPr>
          <w:rFonts w:ascii="Arial" w:hAnsi="Arial" w:cs="Arial"/>
          <w:sz w:val="22"/>
          <w:szCs w:val="22"/>
        </w:rPr>
        <w:t xml:space="preserve">Peptides sequences for peptide array. </w:t>
      </w:r>
    </w:p>
    <w:p w14:paraId="550BDE6B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F75BB">
        <w:rPr>
          <w:rFonts w:ascii="Arial" w:hAnsi="Arial" w:cs="Arial"/>
          <w:b/>
          <w:sz w:val="22"/>
        </w:rPr>
        <w:t>Figure 4 – Source data 2</w:t>
      </w:r>
      <w:r w:rsidRPr="00EE28B6">
        <w:rPr>
          <w:rFonts w:ascii="Arial" w:hAnsi="Arial" w:cs="Arial"/>
          <w:sz w:val="22"/>
          <w:szCs w:val="22"/>
        </w:rPr>
        <w:t xml:space="preserve"> </w:t>
      </w:r>
    </w:p>
    <w:p w14:paraId="43608989" w14:textId="77777777" w:rsidR="0082633C" w:rsidRPr="006073AD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6073AD">
        <w:rPr>
          <w:rFonts w:ascii="Arial" w:hAnsi="Arial" w:cs="Arial"/>
          <w:sz w:val="22"/>
          <w:szCs w:val="22"/>
        </w:rPr>
        <w:t>Quantification of peptide arrays.</w:t>
      </w:r>
    </w:p>
    <w:p w14:paraId="69891E5D" w14:textId="77777777" w:rsidR="0082633C" w:rsidRPr="00995B64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995B64">
        <w:rPr>
          <w:rFonts w:ascii="Arial" w:hAnsi="Arial" w:cs="Arial"/>
          <w:b/>
          <w:sz w:val="22"/>
        </w:rPr>
        <w:t>Figure 5 – Source data 1</w:t>
      </w:r>
    </w:p>
    <w:p w14:paraId="4C5ECE92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Structure Validation report </w:t>
      </w:r>
      <w:r w:rsidRPr="0020201F">
        <w:rPr>
          <w:rFonts w:ascii="Arial" w:hAnsi="Arial" w:cs="Arial"/>
          <w:sz w:val="22"/>
          <w:szCs w:val="22"/>
        </w:rPr>
        <w:t>for crystal structure (ID: 6ZVQ)</w:t>
      </w:r>
      <w:r>
        <w:rPr>
          <w:rFonts w:ascii="Arial" w:hAnsi="Arial" w:cs="Arial"/>
          <w:sz w:val="22"/>
          <w:szCs w:val="22"/>
        </w:rPr>
        <w:t>.</w:t>
      </w:r>
    </w:p>
    <w:p w14:paraId="6C278962" w14:textId="77777777" w:rsidR="0082633C" w:rsidRPr="003F75BB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6 – Source data 1</w:t>
      </w:r>
    </w:p>
    <w:p w14:paraId="43CE6658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</w:rPr>
      </w:pPr>
      <w:r w:rsidRPr="006073AD">
        <w:rPr>
          <w:rFonts w:ascii="Arial" w:hAnsi="Arial" w:cs="Arial"/>
          <w:sz w:val="22"/>
          <w:szCs w:val="22"/>
        </w:rPr>
        <w:t>Luciferase assays for Activin A-induced HEK293T P35S SKI clones</w:t>
      </w:r>
      <w:r>
        <w:rPr>
          <w:rFonts w:ascii="Arial" w:hAnsi="Arial" w:cs="Arial"/>
          <w:sz w:val="22"/>
          <w:szCs w:val="22"/>
        </w:rPr>
        <w:t>, as presented in Figure 6D</w:t>
      </w:r>
    </w:p>
    <w:p w14:paraId="60390D9E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6 – Source data 2</w:t>
      </w:r>
    </w:p>
    <w:p w14:paraId="07CC4377" w14:textId="77777777" w:rsidR="0082633C" w:rsidRPr="003F75BB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6073AD">
        <w:rPr>
          <w:rFonts w:ascii="Arial" w:hAnsi="Arial" w:cs="Arial"/>
          <w:sz w:val="22"/>
          <w:szCs w:val="22"/>
        </w:rPr>
        <w:t>Luciferase assays for BMP4-induced HEK293T P35S SKI clones</w:t>
      </w:r>
      <w:r>
        <w:rPr>
          <w:rFonts w:ascii="Arial" w:hAnsi="Arial" w:cs="Arial"/>
          <w:sz w:val="22"/>
          <w:szCs w:val="22"/>
        </w:rPr>
        <w:t>, as presented in Figure 6E.</w:t>
      </w:r>
    </w:p>
    <w:p w14:paraId="4244D045" w14:textId="77777777" w:rsidR="0082633C" w:rsidRPr="003F75BB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7 – Source data 1</w:t>
      </w:r>
    </w:p>
    <w:p w14:paraId="64F6CF11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RNA-</w:t>
      </w:r>
      <w:r w:rsidRPr="006073AD">
        <w:rPr>
          <w:rFonts w:ascii="Arial" w:hAnsi="Arial" w:cs="Arial"/>
          <w:sz w:val="22"/>
          <w:szCs w:val="22"/>
        </w:rPr>
        <w:t xml:space="preserve">seq </w:t>
      </w:r>
      <w:r>
        <w:rPr>
          <w:rFonts w:ascii="Arial" w:hAnsi="Arial" w:cs="Arial"/>
          <w:sz w:val="22"/>
          <w:szCs w:val="22"/>
        </w:rPr>
        <w:t>raw</w:t>
      </w:r>
      <w:r w:rsidRPr="006073AD">
        <w:rPr>
          <w:rFonts w:ascii="Arial" w:hAnsi="Arial" w:cs="Arial"/>
          <w:sz w:val="22"/>
          <w:szCs w:val="22"/>
        </w:rPr>
        <w:t xml:space="preserve"> data</w:t>
      </w:r>
    </w:p>
    <w:p w14:paraId="6B729D82" w14:textId="77777777" w:rsidR="0082633C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3F75BB">
        <w:rPr>
          <w:rFonts w:ascii="Arial" w:hAnsi="Arial" w:cs="Arial"/>
          <w:b/>
          <w:sz w:val="22"/>
        </w:rPr>
        <w:t>Figure 7 Supplement 2 – Source data 1</w:t>
      </w:r>
    </w:p>
    <w:p w14:paraId="2711785E" w14:textId="77777777" w:rsidR="0082633C" w:rsidRPr="003F75BB" w:rsidRDefault="0082633C" w:rsidP="0082633C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</w:rPr>
      </w:pPr>
      <w:r w:rsidRPr="006073AD">
        <w:rPr>
          <w:rFonts w:ascii="Arial" w:hAnsi="Arial" w:cs="Arial"/>
          <w:sz w:val="22"/>
          <w:szCs w:val="22"/>
        </w:rPr>
        <w:t xml:space="preserve">qPCR </w:t>
      </w:r>
      <w:r>
        <w:rPr>
          <w:rFonts w:ascii="Arial" w:hAnsi="Arial" w:cs="Arial"/>
          <w:sz w:val="22"/>
          <w:szCs w:val="22"/>
        </w:rPr>
        <w:t>validations of RNA-seq data</w:t>
      </w:r>
      <w:r w:rsidRPr="006073AD">
        <w:rPr>
          <w:rFonts w:ascii="Arial" w:hAnsi="Arial" w:cs="Arial"/>
          <w:sz w:val="22"/>
          <w:szCs w:val="22"/>
        </w:rPr>
        <w:t xml:space="preserve"> for SGS and control dermal fibroblasts</w:t>
      </w:r>
      <w:r>
        <w:rPr>
          <w:rFonts w:ascii="Arial" w:hAnsi="Arial" w:cs="Arial"/>
          <w:sz w:val="22"/>
          <w:szCs w:val="22"/>
        </w:rPr>
        <w:t>.</w:t>
      </w:r>
    </w:p>
    <w:p w14:paraId="0A02B9EC" w14:textId="77777777" w:rsidR="00C558D3" w:rsidRPr="0020201F" w:rsidRDefault="00C558D3" w:rsidP="00C558D3">
      <w:pPr>
        <w:framePr w:w="9474" w:h="1088" w:hSpace="180" w:wrap="around" w:vAnchor="text" w:hAnchor="page" w:x="1340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96DA" w14:textId="77777777" w:rsidR="009F4154" w:rsidRDefault="009F4154" w:rsidP="004215FE">
      <w:r>
        <w:separator/>
      </w:r>
    </w:p>
  </w:endnote>
  <w:endnote w:type="continuationSeparator" w:id="0">
    <w:p w14:paraId="750B51A5" w14:textId="77777777" w:rsidR="009F4154" w:rsidRDefault="009F41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2633C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B825" w14:textId="77777777" w:rsidR="009F4154" w:rsidRDefault="009F4154" w:rsidP="004215FE">
      <w:r>
        <w:separator/>
      </w:r>
    </w:p>
  </w:footnote>
  <w:footnote w:type="continuationSeparator" w:id="0">
    <w:p w14:paraId="403D807D" w14:textId="77777777" w:rsidR="009F4154" w:rsidRDefault="009F41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5BB6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1D41"/>
    <w:rsid w:val="000D62F9"/>
    <w:rsid w:val="000E526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4500"/>
    <w:rsid w:val="00175192"/>
    <w:rsid w:val="001E1D59"/>
    <w:rsid w:val="0020201F"/>
    <w:rsid w:val="00212F30"/>
    <w:rsid w:val="00217B9E"/>
    <w:rsid w:val="002336C6"/>
    <w:rsid w:val="00241081"/>
    <w:rsid w:val="0025043D"/>
    <w:rsid w:val="002572C6"/>
    <w:rsid w:val="00266462"/>
    <w:rsid w:val="002A068D"/>
    <w:rsid w:val="002A0ED1"/>
    <w:rsid w:val="002A7487"/>
    <w:rsid w:val="00301B0D"/>
    <w:rsid w:val="00307F5D"/>
    <w:rsid w:val="003248ED"/>
    <w:rsid w:val="00370080"/>
    <w:rsid w:val="003A5C38"/>
    <w:rsid w:val="003F19A6"/>
    <w:rsid w:val="00401FDD"/>
    <w:rsid w:val="00402ADD"/>
    <w:rsid w:val="00406FF4"/>
    <w:rsid w:val="00412360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B766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534"/>
    <w:rsid w:val="00566103"/>
    <w:rsid w:val="0059244E"/>
    <w:rsid w:val="005B0A15"/>
    <w:rsid w:val="005C7FB7"/>
    <w:rsid w:val="005E2E31"/>
    <w:rsid w:val="00605A12"/>
    <w:rsid w:val="006073AD"/>
    <w:rsid w:val="006151E2"/>
    <w:rsid w:val="00634AC7"/>
    <w:rsid w:val="00657587"/>
    <w:rsid w:val="00661DCC"/>
    <w:rsid w:val="00662900"/>
    <w:rsid w:val="00672545"/>
    <w:rsid w:val="00685CCF"/>
    <w:rsid w:val="006A632B"/>
    <w:rsid w:val="006C06F5"/>
    <w:rsid w:val="006C7BC3"/>
    <w:rsid w:val="006E4A6C"/>
    <w:rsid w:val="006E6B2A"/>
    <w:rsid w:val="00700103"/>
    <w:rsid w:val="00710124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D1D"/>
    <w:rsid w:val="0082410E"/>
    <w:rsid w:val="00825F4A"/>
    <w:rsid w:val="0082633C"/>
    <w:rsid w:val="008531D3"/>
    <w:rsid w:val="00860995"/>
    <w:rsid w:val="00861E5D"/>
    <w:rsid w:val="00865914"/>
    <w:rsid w:val="008669DA"/>
    <w:rsid w:val="0087056D"/>
    <w:rsid w:val="00876F8F"/>
    <w:rsid w:val="00877644"/>
    <w:rsid w:val="00877729"/>
    <w:rsid w:val="00895607"/>
    <w:rsid w:val="008A22A7"/>
    <w:rsid w:val="008C60F2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C05D0"/>
    <w:rsid w:val="009D0D28"/>
    <w:rsid w:val="009D5D7F"/>
    <w:rsid w:val="009E6ACE"/>
    <w:rsid w:val="009E7B13"/>
    <w:rsid w:val="009F4154"/>
    <w:rsid w:val="00A11EC6"/>
    <w:rsid w:val="00A131BD"/>
    <w:rsid w:val="00A32E20"/>
    <w:rsid w:val="00A5368C"/>
    <w:rsid w:val="00A62B52"/>
    <w:rsid w:val="00A83031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9FE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16E6"/>
    <w:rsid w:val="00C52A77"/>
    <w:rsid w:val="00C558D3"/>
    <w:rsid w:val="00C76832"/>
    <w:rsid w:val="00C820B0"/>
    <w:rsid w:val="00C956A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7E95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7AA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37A54-D429-6E4B-95A7-47177791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Caroline Hill</cp:lastModifiedBy>
  <cp:revision>8</cp:revision>
  <cp:lastPrinted>2020-10-05T16:42:00Z</cp:lastPrinted>
  <dcterms:created xsi:type="dcterms:W3CDTF">2020-12-15T21:03:00Z</dcterms:created>
  <dcterms:modified xsi:type="dcterms:W3CDTF">2020-12-20T17:06:00Z</dcterms:modified>
</cp:coreProperties>
</file>