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1524"/>
        <w:gridCol w:w="1523"/>
        <w:gridCol w:w="1523"/>
      </w:tblGrid>
      <w:tr w:rsidR="00055428" w:rsidRPr="00055428" w14:paraId="6ADC2540" w14:textId="77777777" w:rsidTr="00A618C4">
        <w:trPr>
          <w:trHeight w:val="624"/>
          <w:jc w:val="center"/>
        </w:trPr>
        <w:tc>
          <w:tcPr>
            <w:tcW w:w="2875" w:type="dxa"/>
            <w:tcBorders>
              <w:top w:val="nil"/>
              <w:left w:val="nil"/>
              <w:bottom w:val="single" w:sz="4" w:space="0" w:color="auto"/>
              <w:right w:val="nil"/>
            </w:tcBorders>
            <w:shd w:val="clear" w:color="auto" w:fill="auto"/>
            <w:vAlign w:val="center"/>
          </w:tcPr>
          <w:p w14:paraId="3B24048A" w14:textId="77777777" w:rsidR="00055428" w:rsidRPr="00055428" w:rsidRDefault="00055428" w:rsidP="00055428">
            <w:pPr>
              <w:rPr>
                <w:rFonts w:ascii="Times New Roman" w:eastAsia="Times New Roman" w:hAnsi="Times New Roman" w:cs="Times New Roman"/>
                <w:b/>
                <w:color w:val="000000"/>
                <w:sz w:val="22"/>
                <w:lang w:val="uz-Cyrl-UZ" w:eastAsia="en-GB"/>
              </w:rPr>
            </w:pPr>
            <w:r w:rsidRPr="00055428">
              <w:rPr>
                <w:rFonts w:ascii="Times New Roman" w:eastAsia="Times New Roman" w:hAnsi="Times New Roman" w:cs="Times New Roman"/>
                <w:b/>
                <w:color w:val="000000"/>
                <w:sz w:val="22"/>
                <w:lang w:val="uz-Cyrl-UZ" w:eastAsia="en-GB"/>
              </w:rPr>
              <w:t>Anatomical region</w:t>
            </w:r>
          </w:p>
        </w:tc>
        <w:tc>
          <w:tcPr>
            <w:tcW w:w="1495" w:type="dxa"/>
            <w:tcBorders>
              <w:top w:val="nil"/>
              <w:left w:val="nil"/>
              <w:bottom w:val="single" w:sz="4" w:space="0" w:color="auto"/>
              <w:right w:val="nil"/>
            </w:tcBorders>
            <w:vAlign w:val="center"/>
          </w:tcPr>
          <w:p w14:paraId="6FCEF24E" w14:textId="77777777" w:rsidR="00055428" w:rsidRPr="00055428" w:rsidRDefault="00055428" w:rsidP="00055428">
            <w:pPr>
              <w:jc w:val="center"/>
              <w:rPr>
                <w:rFonts w:ascii="Times New Roman" w:eastAsia="Times New Roman" w:hAnsi="Times New Roman" w:cs="Times New Roman"/>
                <w:b/>
                <w:color w:val="000000"/>
                <w:sz w:val="22"/>
                <w:lang w:val="uz-Cyrl-UZ" w:eastAsia="en-GB"/>
              </w:rPr>
            </w:pPr>
            <w:r w:rsidRPr="00055428">
              <w:rPr>
                <w:rFonts w:ascii="Times New Roman" w:eastAsia="Times New Roman" w:hAnsi="Times New Roman" w:cs="Times New Roman"/>
                <w:b/>
                <w:color w:val="000000"/>
                <w:sz w:val="22"/>
                <w:lang w:val="uz-Cyrl-UZ" w:eastAsia="en-GB"/>
              </w:rPr>
              <w:t>Peak MNI</w:t>
            </w:r>
          </w:p>
        </w:tc>
        <w:tc>
          <w:tcPr>
            <w:tcW w:w="1494" w:type="dxa"/>
            <w:tcBorders>
              <w:top w:val="nil"/>
              <w:left w:val="nil"/>
              <w:bottom w:val="single" w:sz="4" w:space="0" w:color="auto"/>
              <w:right w:val="nil"/>
            </w:tcBorders>
            <w:vAlign w:val="center"/>
          </w:tcPr>
          <w:p w14:paraId="713281CF" w14:textId="77777777" w:rsidR="00055428" w:rsidRPr="00055428" w:rsidRDefault="00055428" w:rsidP="00055428">
            <w:pPr>
              <w:jc w:val="center"/>
              <w:rPr>
                <w:rFonts w:ascii="Times New Roman" w:eastAsia="Times New Roman" w:hAnsi="Times New Roman" w:cs="Times New Roman"/>
                <w:b/>
                <w:color w:val="000000"/>
                <w:sz w:val="22"/>
                <w:lang w:val="uz-Cyrl-UZ" w:eastAsia="en-GB"/>
              </w:rPr>
            </w:pPr>
            <w:r w:rsidRPr="00055428">
              <w:rPr>
                <w:rFonts w:ascii="Times New Roman" w:eastAsia="Times New Roman" w:hAnsi="Times New Roman" w:cs="Times New Roman"/>
                <w:b/>
                <w:color w:val="000000"/>
                <w:sz w:val="22"/>
                <w:lang w:val="uz-Cyrl-UZ" w:eastAsia="en-GB"/>
              </w:rPr>
              <w:t>Peak t</w:t>
            </w:r>
          </w:p>
        </w:tc>
        <w:tc>
          <w:tcPr>
            <w:tcW w:w="1494" w:type="dxa"/>
            <w:tcBorders>
              <w:top w:val="nil"/>
              <w:left w:val="nil"/>
              <w:bottom w:val="single" w:sz="4" w:space="0" w:color="auto"/>
              <w:right w:val="nil"/>
            </w:tcBorders>
            <w:vAlign w:val="center"/>
          </w:tcPr>
          <w:p w14:paraId="39AADC8F" w14:textId="77777777" w:rsidR="00055428" w:rsidRPr="00055428" w:rsidRDefault="00055428" w:rsidP="00055428">
            <w:pPr>
              <w:jc w:val="center"/>
              <w:rPr>
                <w:rFonts w:ascii="Times New Roman" w:eastAsia="Times New Roman" w:hAnsi="Times New Roman" w:cs="Times New Roman"/>
                <w:b/>
                <w:color w:val="000000"/>
                <w:sz w:val="22"/>
                <w:lang w:val="uz-Cyrl-UZ" w:eastAsia="en-GB"/>
              </w:rPr>
            </w:pPr>
            <w:r w:rsidRPr="00055428">
              <w:rPr>
                <w:rFonts w:ascii="Times New Roman" w:eastAsia="Times New Roman" w:hAnsi="Times New Roman" w:cs="Times New Roman"/>
                <w:b/>
                <w:color w:val="000000"/>
                <w:sz w:val="22"/>
                <w:lang w:val="uz-Cyrl-UZ" w:eastAsia="en-GB"/>
              </w:rPr>
              <w:t>Cluster size</w:t>
            </w:r>
          </w:p>
        </w:tc>
      </w:tr>
      <w:tr w:rsidR="00055428" w:rsidRPr="00055428" w14:paraId="210D8B2A" w14:textId="77777777" w:rsidTr="00A618C4">
        <w:trPr>
          <w:trHeight w:hRule="exact" w:val="516"/>
          <w:jc w:val="center"/>
        </w:trPr>
        <w:tc>
          <w:tcPr>
            <w:tcW w:w="2875" w:type="dxa"/>
            <w:tcBorders>
              <w:top w:val="nil"/>
              <w:left w:val="nil"/>
              <w:bottom w:val="nil"/>
              <w:right w:val="nil"/>
            </w:tcBorders>
            <w:shd w:val="clear" w:color="auto" w:fill="auto"/>
            <w:noWrap/>
            <w:vAlign w:val="center"/>
          </w:tcPr>
          <w:p w14:paraId="1A8DF725" w14:textId="77777777" w:rsidR="00055428" w:rsidRPr="00055428" w:rsidRDefault="00055428" w:rsidP="00055428">
            <w:pPr>
              <w:rPr>
                <w:rFonts w:ascii="Times New Roman" w:eastAsia="Times New Roman" w:hAnsi="Times New Roman" w:cs="Times New Roman"/>
                <w:iCs/>
                <w:color w:val="000000"/>
                <w:sz w:val="22"/>
                <w:lang w:val="uz-Cyrl-UZ" w:eastAsia="en-GB"/>
              </w:rPr>
            </w:pPr>
            <w:r w:rsidRPr="00055428">
              <w:rPr>
                <w:rFonts w:ascii="Times New Roman" w:eastAsia="Times New Roman" w:hAnsi="Times New Roman" w:cs="Times New Roman"/>
                <w:iCs/>
                <w:color w:val="000000"/>
                <w:sz w:val="22"/>
                <w:lang w:val="uz-Cyrl-UZ" w:eastAsia="en-GB"/>
              </w:rPr>
              <w:t>L. posterior STS (TPJ*)</w:t>
            </w:r>
          </w:p>
        </w:tc>
        <w:tc>
          <w:tcPr>
            <w:tcW w:w="1495" w:type="dxa"/>
            <w:tcBorders>
              <w:top w:val="nil"/>
              <w:left w:val="nil"/>
              <w:bottom w:val="nil"/>
              <w:right w:val="nil"/>
            </w:tcBorders>
            <w:vAlign w:val="center"/>
          </w:tcPr>
          <w:p w14:paraId="534F19B0" w14:textId="77777777" w:rsidR="00055428" w:rsidRPr="00055428" w:rsidDel="00E15759"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-59, -47, 5</w:t>
            </w:r>
          </w:p>
        </w:tc>
        <w:tc>
          <w:tcPr>
            <w:tcW w:w="1494" w:type="dxa"/>
            <w:tcBorders>
              <w:top w:val="nil"/>
              <w:left w:val="nil"/>
              <w:bottom w:val="nil"/>
              <w:right w:val="nil"/>
            </w:tcBorders>
            <w:vAlign w:val="center"/>
          </w:tcPr>
          <w:p w14:paraId="1C994736" w14:textId="77777777" w:rsidR="00055428" w:rsidRPr="00055428" w:rsidDel="00E15759"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4.21</w:t>
            </w:r>
          </w:p>
        </w:tc>
        <w:tc>
          <w:tcPr>
            <w:tcW w:w="1494" w:type="dxa"/>
            <w:tcBorders>
              <w:top w:val="nil"/>
              <w:left w:val="nil"/>
              <w:bottom w:val="nil"/>
              <w:right w:val="nil"/>
            </w:tcBorders>
            <w:vAlign w:val="center"/>
          </w:tcPr>
          <w:p w14:paraId="3F4DA707"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22</w:t>
            </w:r>
          </w:p>
        </w:tc>
      </w:tr>
      <w:tr w:rsidR="00055428" w:rsidRPr="00055428" w14:paraId="2726B372" w14:textId="77777777" w:rsidTr="00A618C4">
        <w:trPr>
          <w:trHeight w:hRule="exact" w:val="397"/>
          <w:jc w:val="center"/>
        </w:trPr>
        <w:tc>
          <w:tcPr>
            <w:tcW w:w="2875" w:type="dxa"/>
            <w:tcBorders>
              <w:top w:val="nil"/>
              <w:left w:val="nil"/>
              <w:bottom w:val="nil"/>
              <w:right w:val="nil"/>
            </w:tcBorders>
            <w:shd w:val="clear" w:color="auto" w:fill="auto"/>
            <w:noWrap/>
            <w:vAlign w:val="center"/>
          </w:tcPr>
          <w:p w14:paraId="1FA09902" w14:textId="77777777" w:rsidR="00055428" w:rsidRPr="00055428" w:rsidRDefault="00055428" w:rsidP="00055428">
            <w:pPr>
              <w:rPr>
                <w:rFonts w:ascii="Times New Roman" w:eastAsia="Times New Roman" w:hAnsi="Times New Roman" w:cs="Times New Roman"/>
                <w:iCs/>
                <w:color w:val="000000"/>
                <w:sz w:val="22"/>
                <w:lang w:val="uz-Cyrl-UZ" w:eastAsia="en-GB"/>
              </w:rPr>
            </w:pPr>
            <w:r w:rsidRPr="00055428">
              <w:rPr>
                <w:rFonts w:ascii="Times New Roman" w:eastAsia="Times New Roman" w:hAnsi="Times New Roman" w:cs="Times New Roman"/>
                <w:iCs/>
                <w:color w:val="000000"/>
                <w:sz w:val="22"/>
                <w:lang w:val="uz-Cyrl-UZ" w:eastAsia="en-GB"/>
              </w:rPr>
              <w:t xml:space="preserve">R. middle frontal gyrus </w:t>
            </w:r>
          </w:p>
        </w:tc>
        <w:tc>
          <w:tcPr>
            <w:tcW w:w="1495" w:type="dxa"/>
            <w:tcBorders>
              <w:top w:val="nil"/>
              <w:left w:val="nil"/>
              <w:bottom w:val="nil"/>
              <w:right w:val="nil"/>
            </w:tcBorders>
            <w:vAlign w:val="center"/>
          </w:tcPr>
          <w:p w14:paraId="6F1AB7E4"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39, -7, 55</w:t>
            </w:r>
          </w:p>
        </w:tc>
        <w:tc>
          <w:tcPr>
            <w:tcW w:w="1494" w:type="dxa"/>
            <w:tcBorders>
              <w:top w:val="nil"/>
              <w:left w:val="nil"/>
              <w:bottom w:val="nil"/>
              <w:right w:val="nil"/>
            </w:tcBorders>
            <w:vAlign w:val="center"/>
          </w:tcPr>
          <w:p w14:paraId="6F0DA1AF"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4.15</w:t>
            </w:r>
          </w:p>
        </w:tc>
        <w:tc>
          <w:tcPr>
            <w:tcW w:w="1494" w:type="dxa"/>
            <w:tcBorders>
              <w:top w:val="nil"/>
              <w:left w:val="nil"/>
              <w:bottom w:val="nil"/>
              <w:right w:val="nil"/>
            </w:tcBorders>
            <w:vAlign w:val="center"/>
          </w:tcPr>
          <w:p w14:paraId="79009A27"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17</w:t>
            </w:r>
          </w:p>
        </w:tc>
      </w:tr>
      <w:tr w:rsidR="00055428" w:rsidRPr="00055428" w14:paraId="40D9F0F4" w14:textId="77777777" w:rsidTr="00A618C4">
        <w:trPr>
          <w:trHeight w:hRule="exact" w:val="397"/>
          <w:jc w:val="center"/>
        </w:trPr>
        <w:tc>
          <w:tcPr>
            <w:tcW w:w="2875" w:type="dxa"/>
            <w:tcBorders>
              <w:top w:val="nil"/>
              <w:left w:val="nil"/>
              <w:bottom w:val="nil"/>
              <w:right w:val="nil"/>
            </w:tcBorders>
            <w:shd w:val="clear" w:color="auto" w:fill="auto"/>
            <w:noWrap/>
            <w:vAlign w:val="center"/>
          </w:tcPr>
          <w:p w14:paraId="12BED7D6" w14:textId="77777777" w:rsidR="00055428" w:rsidRPr="00055428" w:rsidRDefault="00055428" w:rsidP="00055428">
            <w:pPr>
              <w:rPr>
                <w:rFonts w:ascii="Times New Roman" w:eastAsia="Times New Roman" w:hAnsi="Times New Roman" w:cs="Times New Roman"/>
                <w:iCs/>
                <w:color w:val="000000"/>
                <w:sz w:val="22"/>
                <w:lang w:val="uz-Cyrl-UZ" w:eastAsia="en-GB"/>
              </w:rPr>
            </w:pPr>
            <w:r w:rsidRPr="00055428">
              <w:rPr>
                <w:rFonts w:ascii="Times New Roman" w:eastAsia="Times New Roman" w:hAnsi="Times New Roman" w:cs="Times New Roman"/>
                <w:iCs/>
                <w:color w:val="000000"/>
                <w:sz w:val="22"/>
                <w:lang w:val="uz-Cyrl-UZ" w:eastAsia="en-GB"/>
              </w:rPr>
              <w:t>R. inferior precentral sulcus</w:t>
            </w:r>
          </w:p>
        </w:tc>
        <w:tc>
          <w:tcPr>
            <w:tcW w:w="1495" w:type="dxa"/>
            <w:tcBorders>
              <w:top w:val="nil"/>
              <w:left w:val="nil"/>
              <w:bottom w:val="nil"/>
              <w:right w:val="nil"/>
            </w:tcBorders>
            <w:vAlign w:val="center"/>
          </w:tcPr>
          <w:p w14:paraId="3E6AE1CB"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42, 18, 15</w:t>
            </w:r>
          </w:p>
        </w:tc>
        <w:tc>
          <w:tcPr>
            <w:tcW w:w="1494" w:type="dxa"/>
            <w:tcBorders>
              <w:top w:val="nil"/>
              <w:left w:val="nil"/>
              <w:bottom w:val="nil"/>
              <w:right w:val="nil"/>
            </w:tcBorders>
            <w:vAlign w:val="center"/>
          </w:tcPr>
          <w:p w14:paraId="2564F34D"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4.10</w:t>
            </w:r>
          </w:p>
        </w:tc>
        <w:tc>
          <w:tcPr>
            <w:tcW w:w="1494" w:type="dxa"/>
            <w:tcBorders>
              <w:top w:val="nil"/>
              <w:left w:val="nil"/>
              <w:bottom w:val="nil"/>
              <w:right w:val="nil"/>
            </w:tcBorders>
            <w:vAlign w:val="center"/>
          </w:tcPr>
          <w:p w14:paraId="2CD6A08C"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37</w:t>
            </w:r>
          </w:p>
        </w:tc>
      </w:tr>
      <w:tr w:rsidR="00055428" w:rsidRPr="00055428" w14:paraId="1787E166" w14:textId="77777777" w:rsidTr="00A618C4">
        <w:trPr>
          <w:trHeight w:hRule="exact" w:val="397"/>
          <w:jc w:val="center"/>
        </w:trPr>
        <w:tc>
          <w:tcPr>
            <w:tcW w:w="2875" w:type="dxa"/>
            <w:tcBorders>
              <w:top w:val="nil"/>
              <w:left w:val="nil"/>
              <w:bottom w:val="single" w:sz="4" w:space="0" w:color="auto"/>
              <w:right w:val="nil"/>
            </w:tcBorders>
            <w:shd w:val="clear" w:color="auto" w:fill="auto"/>
            <w:noWrap/>
            <w:vAlign w:val="center"/>
          </w:tcPr>
          <w:p w14:paraId="03FD8F2B" w14:textId="77777777" w:rsidR="00055428" w:rsidRPr="00055428" w:rsidRDefault="00055428" w:rsidP="00055428">
            <w:pPr>
              <w:rPr>
                <w:rFonts w:ascii="Times New Roman" w:eastAsia="Times New Roman" w:hAnsi="Times New Roman" w:cs="Times New Roman"/>
                <w:iCs/>
                <w:color w:val="000000"/>
                <w:sz w:val="22"/>
                <w:lang w:val="uz-Cyrl-UZ" w:eastAsia="en-GB"/>
              </w:rPr>
            </w:pPr>
            <w:r w:rsidRPr="00055428">
              <w:rPr>
                <w:rFonts w:ascii="Times New Roman" w:eastAsia="Times New Roman" w:hAnsi="Times New Roman" w:cs="Times New Roman"/>
                <w:iCs/>
                <w:color w:val="000000"/>
                <w:sz w:val="22"/>
                <w:lang w:val="uz-Cyrl-UZ" w:eastAsia="en-GB"/>
              </w:rPr>
              <w:t>L. lingual gyrus</w:t>
            </w:r>
          </w:p>
        </w:tc>
        <w:tc>
          <w:tcPr>
            <w:tcW w:w="1495" w:type="dxa"/>
            <w:tcBorders>
              <w:top w:val="nil"/>
              <w:left w:val="nil"/>
              <w:bottom w:val="single" w:sz="4" w:space="0" w:color="auto"/>
              <w:right w:val="nil"/>
            </w:tcBorders>
            <w:vAlign w:val="center"/>
          </w:tcPr>
          <w:p w14:paraId="316A25E3" w14:textId="77777777" w:rsidR="00055428" w:rsidRPr="00055428" w:rsidDel="00E15759"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-11, -80, -8</w:t>
            </w:r>
          </w:p>
        </w:tc>
        <w:tc>
          <w:tcPr>
            <w:tcW w:w="1494" w:type="dxa"/>
            <w:tcBorders>
              <w:top w:val="nil"/>
              <w:left w:val="nil"/>
              <w:bottom w:val="single" w:sz="4" w:space="0" w:color="auto"/>
              <w:right w:val="nil"/>
            </w:tcBorders>
            <w:vAlign w:val="center"/>
          </w:tcPr>
          <w:p w14:paraId="503C30F5" w14:textId="77777777" w:rsidR="00055428" w:rsidRPr="00055428" w:rsidDel="00E15759"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3.97</w:t>
            </w:r>
          </w:p>
        </w:tc>
        <w:tc>
          <w:tcPr>
            <w:tcW w:w="1494" w:type="dxa"/>
            <w:tcBorders>
              <w:top w:val="nil"/>
              <w:left w:val="nil"/>
              <w:bottom w:val="single" w:sz="4" w:space="0" w:color="auto"/>
              <w:right w:val="nil"/>
            </w:tcBorders>
            <w:vAlign w:val="center"/>
          </w:tcPr>
          <w:p w14:paraId="302F0963" w14:textId="77777777" w:rsidR="00055428" w:rsidRPr="00055428" w:rsidRDefault="00055428" w:rsidP="00055428">
            <w:pPr>
              <w:jc w:val="center"/>
              <w:rPr>
                <w:rFonts w:ascii="Times New Roman" w:eastAsia="Times New Roman" w:hAnsi="Times New Roman" w:cs="Times New Roman"/>
                <w:color w:val="000000"/>
                <w:sz w:val="22"/>
                <w:lang w:val="uz-Cyrl-UZ" w:eastAsia="en-GB"/>
              </w:rPr>
            </w:pPr>
            <w:r w:rsidRPr="00055428">
              <w:rPr>
                <w:rFonts w:ascii="Times New Roman" w:eastAsia="Times New Roman" w:hAnsi="Times New Roman" w:cs="Times New Roman"/>
                <w:color w:val="000000"/>
                <w:sz w:val="22"/>
                <w:lang w:val="uz-Cyrl-UZ" w:eastAsia="en-GB"/>
              </w:rPr>
              <w:t>11</w:t>
            </w:r>
          </w:p>
        </w:tc>
      </w:tr>
    </w:tbl>
    <w:p w14:paraId="58C0CC15" w14:textId="77777777" w:rsidR="00055428" w:rsidRDefault="00055428" w:rsidP="00055428">
      <w:pPr>
        <w:spacing w:line="480" w:lineRule="auto"/>
        <w:rPr>
          <w:rFonts w:ascii="Times New Roman" w:eastAsia="Times New Roman" w:hAnsi="Times New Roman" w:cs="Times New Roman"/>
          <w:b/>
          <w:bCs/>
          <w:lang w:val="uz-Cyrl-UZ" w:eastAsia="en-GB"/>
        </w:rPr>
      </w:pPr>
    </w:p>
    <w:p w14:paraId="2EE7F9AB" w14:textId="30C6E15F" w:rsidR="00055428" w:rsidRDefault="00055428" w:rsidP="00055428">
      <w:pPr>
        <w:spacing w:line="480" w:lineRule="auto"/>
      </w:pPr>
      <w:r w:rsidRPr="00055428">
        <w:rPr>
          <w:rFonts w:ascii="Times New Roman" w:eastAsia="Times New Roman" w:hAnsi="Times New Roman" w:cs="Times New Roman"/>
          <w:b/>
          <w:bCs/>
          <w:lang w:val="uz-Cyrl-UZ" w:eastAsia="en-GB"/>
        </w:rPr>
        <w:t xml:space="preserve">Supplementary File 1. </w:t>
      </w:r>
      <w:r w:rsidRPr="00055428">
        <w:rPr>
          <w:rFonts w:ascii="Times New Roman" w:eastAsia="Times New Roman" w:hAnsi="Times New Roman" w:cs="Times New Roman"/>
          <w:b/>
          <w:color w:val="000000"/>
          <w:lang w:val="uz-Cyrl-UZ" w:eastAsia="en-GB"/>
        </w:rPr>
        <w:t xml:space="preserve">Decoding endogenous versus exogenous </w:t>
      </w:r>
      <w:r w:rsidRPr="00055428">
        <w:rPr>
          <w:rFonts w:ascii="Times New Roman" w:eastAsia="Times New Roman" w:hAnsi="Times New Roman" w:cs="Times New Roman"/>
          <w:b/>
          <w:bCs/>
          <w:color w:val="000000"/>
          <w:lang w:val="uz-Cyrl-UZ" w:eastAsia="en-GB"/>
        </w:rPr>
        <w:t>at the whole-brain level</w:t>
      </w:r>
      <w:r w:rsidRPr="00055428">
        <w:rPr>
          <w:rFonts w:ascii="Times New Roman" w:eastAsia="Times New Roman" w:hAnsi="Times New Roman" w:cs="Times New Roman"/>
          <w:color w:val="000000"/>
          <w:lang w:val="uz-Cyrl-UZ" w:eastAsia="en-GB"/>
        </w:rPr>
        <w:t>. All clusters (</w:t>
      </w:r>
      <w:r w:rsidRPr="00055428">
        <w:rPr>
          <w:rFonts w:ascii="Times New Roman" w:eastAsia="Times New Roman" w:hAnsi="Times New Roman" w:cs="Times New Roman"/>
          <w:bCs/>
          <w:lang w:val="uz-Cyrl-UZ" w:eastAsia="en-GB"/>
        </w:rPr>
        <w:t xml:space="preserve">≥10 voxels) </w:t>
      </w:r>
      <w:r w:rsidRPr="00055428">
        <w:rPr>
          <w:rFonts w:ascii="Times New Roman" w:eastAsia="Times New Roman" w:hAnsi="Times New Roman" w:cs="Times New Roman"/>
          <w:color w:val="000000"/>
          <w:lang w:val="uz-Cyrl-UZ" w:eastAsia="en-GB"/>
        </w:rPr>
        <w:t xml:space="preserve">of decoding activity </w:t>
      </w:r>
      <w:r w:rsidRPr="00055428">
        <w:rPr>
          <w:rFonts w:ascii="Times New Roman" w:eastAsia="Times New Roman" w:hAnsi="Times New Roman" w:cs="Times New Roman"/>
          <w:bCs/>
          <w:lang w:val="uz-Cyrl-UZ" w:eastAsia="en-GB"/>
        </w:rPr>
        <w:t>passing the voxelwise threshold of p &lt; 0.001 (none of the clusters survived p &lt; 0.05 correction for multiple comparisons using the whole brain as search space).</w:t>
      </w:r>
      <w:r w:rsidRPr="00055428" w:rsidDel="0029646A">
        <w:rPr>
          <w:rFonts w:ascii="Times New Roman" w:eastAsia="Times New Roman" w:hAnsi="Times New Roman" w:cs="Times New Roman"/>
          <w:bCs/>
          <w:lang w:val="uz-Cyrl-UZ" w:eastAsia="en-GB"/>
        </w:rPr>
        <w:t xml:space="preserve"> </w:t>
      </w:r>
      <w:r w:rsidRPr="00055428">
        <w:rPr>
          <w:rFonts w:ascii="Times New Roman" w:eastAsia="Times New Roman" w:hAnsi="Times New Roman" w:cs="Times New Roman"/>
          <w:bCs/>
          <w:lang w:val="uz-Cyrl-UZ" w:eastAsia="en-GB"/>
        </w:rPr>
        <w:t xml:space="preserve">*The left posterior STS cluster also coincided with </w:t>
      </w:r>
      <w:r w:rsidRPr="00055428">
        <w:rPr>
          <w:rFonts w:ascii="Times New Roman" w:eastAsia="Calibri" w:hAnsi="Times New Roman" w:cs="Times New Roman"/>
          <w:lang w:val="uz-Cyrl-UZ" w:eastAsia="en-GB"/>
        </w:rPr>
        <w:t>the posterior</w:t>
      </w:r>
      <w:r w:rsidRPr="00055428">
        <w:rPr>
          <w:rFonts w:ascii="Times New Roman" w:eastAsia="Times New Roman" w:hAnsi="Times New Roman" w:cs="Times New Roman"/>
          <w:lang w:val="uz-Cyrl-UZ" w:eastAsia="en-GB"/>
        </w:rPr>
        <w:t xml:space="preserve"> TPJ (</w:t>
      </w:r>
      <w:r w:rsidRPr="00055428">
        <w:rPr>
          <w:rFonts w:ascii="Times New Roman" w:eastAsia="Calibri" w:hAnsi="Times New Roman" w:cs="Times New Roman"/>
          <w:lang w:val="uz-Cyrl-UZ" w:eastAsia="en-GB"/>
        </w:rPr>
        <w:t xml:space="preserve">TPJp) subregion as defined by </w:t>
      </w:r>
      <w:r w:rsidRPr="00055428">
        <w:rPr>
          <w:rFonts w:ascii="Times New Roman" w:eastAsia="Calibri" w:hAnsi="Times New Roman" w:cs="Times New Roman"/>
          <w:lang w:val="uz-Cyrl-UZ" w:eastAsia="en-GB"/>
        </w:rPr>
        <w:fldChar w:fldCharType="begin"/>
      </w:r>
      <w:r w:rsidRPr="00055428">
        <w:rPr>
          <w:rFonts w:ascii="Times New Roman" w:eastAsia="Calibri" w:hAnsi="Times New Roman" w:cs="Times New Roman"/>
          <w:lang w:val="uz-Cyrl-UZ" w:eastAsia="en-GB"/>
        </w:rPr>
        <w:instrText xml:space="preserve"> ADDIN ZOTERO_ITEM CSL_CITATION {"citationID":"0agtEcMZ","properties":{"formattedCitation":"(Bzdok et al., 2013; Mars et al., 2012)","plainCitation":"(Bzdok et al., 2013; Mars et al., 2012)","noteIndex":0},"citationItems":[{"id":3074,"uris":["http://zotero.org/users/35259/items/4XCKVZIG"],"uri":["http://zotero.org/users/35259/items/4XCKVZIG"],"itemData":{"id":3074,"type":"article-journal","abstract":"The right temporo-parietal junction (RTPJ) is consistently implicated in two cognitive domains, attention and social cognitions. We conducted multi-modal connectivity-based parcellation to investigate potentially separate functional modules within RTPJ implementing this cognitive dualism. Both task-constrained meta-analytic coactivation mapping and task-free resting-state connectivity analysis independently identified two distinct clusters within RTPJ, subsequently characterized by network mapping and functional forward/reverse inference. Coactivation mapping and resting-state correlations revealed that the anterior cluster increased neural activity concomitantly with a midcingulate–motor–insular network, functionally associated with attention, and decreased neural activity concomitantly with a parietal network, functionally associated with social cognition and memory retrieval. The posterior cluster showed the exact opposite association pattern. Our data thus suggest that RTPJ links two antagonistic brain networks processing external versus internal information.","container-title":"NeuroImage","DOI":"10.1016/j.neuroimage.2013.05.046","ISSN":"1053-8119","journalAbbreviation":"Neuroimage","note":"PMID: 23689016\nPMCID: PMC4791053","page":"381-392","source":"PubMed Central","title":"Characterization of the temporo-parietal junction by combining data-driven parcellation, complementary connectivity analyses, and functional decoding","volume":"81","author":[{"family":"Bzdok","given":"Danilo"},{"family":"Langner","given":"Robert"},{"family":"Schilbach","given":"Leonhard"},{"family":"Jakobs","given":"Oliver"},{"family":"Roski","given":"Christian"},{"family":"Caspers","given":"Svenja"},{"family":"Laird","given":"Angela R."},{"family":"Fox","given":"Peter T."},{"family":"Zilles","given":"Karl"},{"family":"Eickhoff","given":"Simon B."}],"issued":{"date-parts":[["2013",11,1]]}},"label":"page"},{"id":3040,"uris":["http://zotero.org/users/35259/items/5BDM7ST6"],"uri":["http://zotero.org/users/35259/items/5BDM7ST6"],"itemData":{"id":3040,"type":"article-journal","abstract":"Controversy surrounds the role of the temporoparietal junction (TPJ) area of the human brain. Although TPJ has been implicated both in reorienting of attention and social cognition, it is still unclear whether these functions have the same neural basis. Indeed, whether TPJ is a precisely identifiable cortical region or a cluster of subregions with separate functions is still a matter of debate. Here, we examined the structural and functional connectivity of TPJ, testing whether TPJ is a unitary area with a heterogeneous functional connectivity profile or a conglomerate of regions with distinctive connectivity. Diffusion-weighted imaging tractrography–based parcellation identified 3 separate regions in TPJ. Resting-state functional connectivity was then used to establish which cortical networks each of these subregions participates in. A dorsal cluster in the middle part of the inferior parietal lobule showed resting-state functional connectivity with, among other areas, lateral anterior prefrontal cortex. Ventrally, an anterior TPJ cluster interacted with ventral prefrontal cortex and anterior insula, while a posterior TPJ cluster interacted with posterior cingulate, temporal pole, and anterior medial prefrontal cortex. These results indicate that TPJ can be subdivided into subregions on the basis of its structural and functional connectivity.","container-title":"Cerebral Cortex","DOI":"10.1093/cercor/bhr268","ISSN":"1047-3211","issue":"8","journalAbbreviation":"Cerebral Cortex","page":"1894-1903","source":"Silverchair","title":"Connectivity-Based Subdivisions of the Human Right “Temporoparietal Junction Area”: Evidence for Different Areas Participating in Different Cortical Networks","title-short":"Connectivity-Based Subdivisions of the Human Right “Temporoparietal Junction Area”","volume":"22","author":[{"family":"Mars","given":"Rogier B."},{"family":"Sallet","given":"Jérôme"},{"family":"Schüffelgen","given":"Urs"},{"family":"Jbabdi","given":"Saad"},{"family":"Toni","given":"Ivan"},{"family":"Rushworth","given":"Matthew F. S."}],"issued":{"date-parts":[["2012",8,1]]}},"label":"page"}],"schema":"https://github.com/citation-style-language/schema/raw/master/csl-citation.json"} </w:instrText>
      </w:r>
      <w:r w:rsidRPr="00055428">
        <w:rPr>
          <w:rFonts w:ascii="Times New Roman" w:eastAsia="Calibri" w:hAnsi="Times New Roman" w:cs="Times New Roman"/>
          <w:lang w:val="uz-Cyrl-UZ" w:eastAsia="en-GB"/>
        </w:rPr>
        <w:fldChar w:fldCharType="separate"/>
      </w:r>
      <w:r w:rsidRPr="00055428">
        <w:rPr>
          <w:rFonts w:ascii="Times New Roman" w:eastAsia="Calibri" w:hAnsi="Times New Roman" w:cs="Times New Roman"/>
          <w:noProof/>
          <w:lang w:val="uz-Cyrl-UZ" w:eastAsia="en-GB"/>
        </w:rPr>
        <w:t>(Bzdok et al., 2013; Mars et al., 2012)</w:t>
      </w:r>
      <w:r w:rsidRPr="00055428">
        <w:rPr>
          <w:rFonts w:ascii="Times New Roman" w:eastAsia="Calibri" w:hAnsi="Times New Roman" w:cs="Times New Roman"/>
          <w:lang w:val="uz-Cyrl-UZ" w:eastAsia="en-GB"/>
        </w:rPr>
        <w:fldChar w:fldCharType="end"/>
      </w:r>
      <w:r w:rsidRPr="00055428">
        <w:rPr>
          <w:rFonts w:ascii="Times New Roman" w:eastAsia="Calibri" w:hAnsi="Times New Roman" w:cs="Times New Roman"/>
          <w:lang w:val="uz-Cyrl-UZ" w:eastAsia="en-GB"/>
        </w:rPr>
        <w:t>.</w:t>
      </w:r>
    </w:p>
    <w:sectPr w:rsidR="00055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28"/>
    <w:rsid w:val="000554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B782C49"/>
  <w15:chartTrackingRefBased/>
  <w15:docId w15:val="{26859150-DD07-3847-B7C1-3CC4B455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Guterstam</dc:creator>
  <cp:keywords/>
  <dc:description/>
  <cp:lastModifiedBy>Arvid Guterstam</cp:lastModifiedBy>
  <cp:revision>1</cp:revision>
  <dcterms:created xsi:type="dcterms:W3CDTF">2021-01-06T01:35:00Z</dcterms:created>
  <dcterms:modified xsi:type="dcterms:W3CDTF">2021-01-06T01:36:00Z</dcterms:modified>
</cp:coreProperties>
</file>