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54" w:type="pct"/>
        <w:tblInd w:w="2466" w:type="dxa"/>
        <w:tblLook w:val="04A0" w:firstRow="1" w:lastRow="0" w:firstColumn="1" w:lastColumn="0" w:noHBand="0" w:noVBand="1"/>
      </w:tblPr>
      <w:tblGrid>
        <w:gridCol w:w="2408"/>
        <w:gridCol w:w="1480"/>
      </w:tblGrid>
      <w:tr w:rsidR="004C2563" w:rsidRPr="0094175C" w14:paraId="1C3CED94" w14:textId="77777777" w:rsidTr="00A618C4">
        <w:trPr>
          <w:trHeight w:val="320"/>
        </w:trPr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4206" w14:textId="77777777" w:rsidR="004C2563" w:rsidRPr="0029646A" w:rsidRDefault="004C2563" w:rsidP="00A618C4">
            <w:pPr>
              <w:rPr>
                <w:b/>
                <w:color w:val="000000"/>
                <w:sz w:val="21"/>
                <w:szCs w:val="18"/>
                <w:lang w:val="sv-SE"/>
              </w:rPr>
            </w:pPr>
            <w:proofErr w:type="spellStart"/>
            <w:r w:rsidRPr="0029646A">
              <w:rPr>
                <w:b/>
                <w:color w:val="000000"/>
                <w:sz w:val="21"/>
                <w:szCs w:val="18"/>
                <w:lang w:val="sv-SE"/>
              </w:rPr>
              <w:t>Anatomical</w:t>
            </w:r>
            <w:proofErr w:type="spellEnd"/>
            <w:r w:rsidRPr="0029646A">
              <w:rPr>
                <w:b/>
                <w:color w:val="000000"/>
                <w:sz w:val="21"/>
                <w:szCs w:val="18"/>
                <w:lang w:val="sv-SE"/>
              </w:rPr>
              <w:t xml:space="preserve"> region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0B42D" w14:textId="77777777" w:rsidR="004C2563" w:rsidRPr="0029646A" w:rsidRDefault="004C2563" w:rsidP="00A618C4">
            <w:pPr>
              <w:jc w:val="center"/>
              <w:rPr>
                <w:b/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b/>
                <w:color w:val="000000"/>
                <w:sz w:val="21"/>
                <w:szCs w:val="18"/>
                <w:lang w:val="sv-SE"/>
              </w:rPr>
              <w:t xml:space="preserve">Cluster </w:t>
            </w:r>
            <w:proofErr w:type="spellStart"/>
            <w:r w:rsidRPr="0029646A">
              <w:rPr>
                <w:b/>
                <w:color w:val="000000"/>
                <w:sz w:val="21"/>
                <w:szCs w:val="18"/>
                <w:lang w:val="sv-SE"/>
              </w:rPr>
              <w:t>size</w:t>
            </w:r>
            <w:proofErr w:type="spellEnd"/>
          </w:p>
        </w:tc>
      </w:tr>
      <w:tr w:rsidR="004C2563" w:rsidRPr="0094175C" w14:paraId="20D29100" w14:textId="77777777" w:rsidTr="00A618C4">
        <w:trPr>
          <w:trHeight w:hRule="exact" w:val="39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0853" w14:textId="77777777" w:rsidR="004C2563" w:rsidRPr="0029646A" w:rsidRDefault="004C2563" w:rsidP="00A618C4">
            <w:pPr>
              <w:ind w:left="27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>L. TPJ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55E2" w14:textId="77777777" w:rsidR="004C2563" w:rsidRPr="0029646A" w:rsidRDefault="004C2563" w:rsidP="00A618C4">
            <w:pPr>
              <w:jc w:val="center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>1722</w:t>
            </w:r>
          </w:p>
        </w:tc>
      </w:tr>
      <w:tr w:rsidR="004C2563" w:rsidRPr="0094175C" w14:paraId="7ED04ACF" w14:textId="77777777" w:rsidTr="00A618C4">
        <w:trPr>
          <w:trHeight w:hRule="exact" w:val="39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74EE" w14:textId="77777777" w:rsidR="004C2563" w:rsidRPr="0029646A" w:rsidRDefault="004C2563" w:rsidP="00A618C4">
            <w:pPr>
              <w:ind w:left="27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 xml:space="preserve">L. and R. </w:t>
            </w:r>
            <w:proofErr w:type="spellStart"/>
            <w:r w:rsidRPr="0029646A">
              <w:rPr>
                <w:color w:val="000000"/>
                <w:sz w:val="21"/>
                <w:szCs w:val="18"/>
                <w:lang w:val="sv-SE"/>
              </w:rPr>
              <w:t>precuneus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B6B0" w14:textId="77777777" w:rsidR="004C2563" w:rsidRPr="0029646A" w:rsidRDefault="004C2563" w:rsidP="00A618C4">
            <w:pPr>
              <w:jc w:val="center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>80</w:t>
            </w:r>
          </w:p>
        </w:tc>
      </w:tr>
      <w:tr w:rsidR="004C2563" w:rsidRPr="0094175C" w14:paraId="07481748" w14:textId="77777777" w:rsidTr="00A618C4">
        <w:trPr>
          <w:trHeight w:hRule="exact" w:val="39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F557" w14:textId="77777777" w:rsidR="004C2563" w:rsidRPr="0029646A" w:rsidRDefault="004C2563" w:rsidP="00A618C4">
            <w:pPr>
              <w:ind w:left="27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 xml:space="preserve">R. intraparietal </w:t>
            </w:r>
            <w:proofErr w:type="spellStart"/>
            <w:r w:rsidRPr="0029646A">
              <w:rPr>
                <w:color w:val="000000"/>
                <w:sz w:val="21"/>
                <w:szCs w:val="18"/>
                <w:lang w:val="sv-SE"/>
              </w:rPr>
              <w:t>sulcus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D41D" w14:textId="77777777" w:rsidR="004C2563" w:rsidRPr="0029646A" w:rsidRDefault="004C2563" w:rsidP="00A618C4">
            <w:pPr>
              <w:jc w:val="center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>137</w:t>
            </w:r>
          </w:p>
        </w:tc>
      </w:tr>
      <w:tr w:rsidR="004C2563" w:rsidRPr="0094175C" w14:paraId="5D7B477A" w14:textId="77777777" w:rsidTr="00A618C4">
        <w:trPr>
          <w:trHeight w:hRule="exact" w:val="397"/>
        </w:trPr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E837" w14:textId="77777777" w:rsidR="004C2563" w:rsidRPr="0029646A" w:rsidRDefault="004C2563" w:rsidP="00A618C4">
            <w:pPr>
              <w:ind w:left="27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 xml:space="preserve">L. </w:t>
            </w:r>
            <w:proofErr w:type="spellStart"/>
            <w:r w:rsidRPr="0029646A">
              <w:rPr>
                <w:color w:val="000000"/>
                <w:sz w:val="21"/>
                <w:szCs w:val="18"/>
                <w:lang w:val="sv-SE"/>
              </w:rPr>
              <w:t>inferior</w:t>
            </w:r>
            <w:proofErr w:type="spellEnd"/>
            <w:r w:rsidRPr="0029646A">
              <w:rPr>
                <w:color w:val="000000"/>
                <w:sz w:val="21"/>
                <w:szCs w:val="18"/>
                <w:lang w:val="sv-SE"/>
              </w:rPr>
              <w:t xml:space="preserve"> frontal </w:t>
            </w:r>
            <w:proofErr w:type="spellStart"/>
            <w:r w:rsidRPr="0029646A">
              <w:rPr>
                <w:color w:val="000000"/>
                <w:sz w:val="21"/>
                <w:szCs w:val="18"/>
                <w:lang w:val="sv-SE"/>
              </w:rPr>
              <w:t>sulcus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675A1" w14:textId="77777777" w:rsidR="004C2563" w:rsidRPr="0029646A" w:rsidRDefault="004C2563" w:rsidP="00A618C4">
            <w:pPr>
              <w:jc w:val="center"/>
              <w:rPr>
                <w:color w:val="000000"/>
                <w:sz w:val="21"/>
                <w:szCs w:val="18"/>
                <w:lang w:val="sv-SE"/>
              </w:rPr>
            </w:pPr>
            <w:r w:rsidRPr="0029646A">
              <w:rPr>
                <w:color w:val="000000"/>
                <w:sz w:val="21"/>
                <w:szCs w:val="18"/>
                <w:lang w:val="sv-SE"/>
              </w:rPr>
              <w:t>22</w:t>
            </w:r>
          </w:p>
        </w:tc>
      </w:tr>
    </w:tbl>
    <w:p w14:paraId="5D71F0AE" w14:textId="77777777" w:rsidR="004C2563" w:rsidRDefault="004C2563" w:rsidP="004C2563">
      <w:pPr>
        <w:spacing w:before="120" w:line="480" w:lineRule="auto"/>
        <w:jc w:val="both"/>
        <w:rPr>
          <w:rFonts w:eastAsia="Calibri"/>
        </w:rPr>
      </w:pPr>
      <w:r>
        <w:rPr>
          <w:b/>
        </w:rPr>
        <w:t>Supplementary File 4</w:t>
      </w:r>
      <w:r w:rsidRPr="00324E56">
        <w:rPr>
          <w:b/>
        </w:rPr>
        <w:t>.</w:t>
      </w:r>
      <w:r w:rsidRPr="00FF7F92">
        <w:rPr>
          <w:b/>
        </w:rPr>
        <w:t xml:space="preserve"> </w:t>
      </w:r>
      <w:r>
        <w:rPr>
          <w:b/>
        </w:rPr>
        <w:t xml:space="preserve">Decoding </w:t>
      </w:r>
      <w:r>
        <w:rPr>
          <w:b/>
          <w:bCs/>
        </w:rPr>
        <w:t>s</w:t>
      </w:r>
      <w:r w:rsidRPr="00B5481B">
        <w:rPr>
          <w:b/>
          <w:bCs/>
        </w:rPr>
        <w:t>ocial</w:t>
      </w:r>
      <w:r>
        <w:rPr>
          <w:b/>
          <w:bCs/>
        </w:rPr>
        <w:t xml:space="preserve"> </w:t>
      </w:r>
      <w:r w:rsidRPr="00B5481B">
        <w:rPr>
          <w:b/>
          <w:bCs/>
        </w:rPr>
        <w:t>versus</w:t>
      </w:r>
      <w:r>
        <w:rPr>
          <w:b/>
          <w:bCs/>
        </w:rPr>
        <w:t xml:space="preserve"> </w:t>
      </w:r>
      <w:r w:rsidRPr="00B5481B">
        <w:rPr>
          <w:b/>
          <w:bCs/>
        </w:rPr>
        <w:t xml:space="preserve">nonsocial </w:t>
      </w:r>
      <w:r>
        <w:rPr>
          <w:b/>
          <w:bCs/>
        </w:rPr>
        <w:t xml:space="preserve">stories at the </w:t>
      </w:r>
      <w:r w:rsidRPr="00B5481B">
        <w:rPr>
          <w:b/>
          <w:bCs/>
        </w:rPr>
        <w:t xml:space="preserve">whole-brain </w:t>
      </w:r>
      <w:r>
        <w:rPr>
          <w:b/>
          <w:bCs/>
        </w:rPr>
        <w:t>level</w:t>
      </w:r>
      <w:r w:rsidRPr="00B5481B">
        <w:rPr>
          <w:rFonts w:eastAsia="Calibri"/>
        </w:rPr>
        <w:t xml:space="preserve">. </w:t>
      </w:r>
      <w:r>
        <w:rPr>
          <w:rFonts w:eastAsia="Calibri"/>
        </w:rPr>
        <w:t xml:space="preserve">Clusters </w:t>
      </w:r>
      <w:r>
        <w:rPr>
          <w:color w:val="000000"/>
        </w:rPr>
        <w:t>(</w:t>
      </w:r>
      <w:r w:rsidRPr="004E0EE8">
        <w:rPr>
          <w:bCs/>
        </w:rPr>
        <w:t>≥</w:t>
      </w:r>
      <w:r w:rsidRPr="00FE3081">
        <w:rPr>
          <w:bCs/>
        </w:rPr>
        <w:t>10 voxels</w:t>
      </w:r>
      <w:r>
        <w:rPr>
          <w:bCs/>
        </w:rPr>
        <w:t>)</w:t>
      </w:r>
      <w:r>
        <w:rPr>
          <w:rFonts w:eastAsia="Calibri"/>
        </w:rPr>
        <w:t xml:space="preserve"> </w:t>
      </w:r>
      <w:r w:rsidRPr="00B5481B">
        <w:rPr>
          <w:rFonts w:eastAsia="Calibri"/>
        </w:rPr>
        <w:t>decod</w:t>
      </w:r>
      <w:r>
        <w:rPr>
          <w:rFonts w:eastAsia="Calibri"/>
        </w:rPr>
        <w:t>ing</w:t>
      </w:r>
      <w:r w:rsidRPr="00B5481B">
        <w:rPr>
          <w:rFonts w:eastAsia="Calibri"/>
        </w:rPr>
        <w:t xml:space="preserve"> </w:t>
      </w:r>
      <w:r>
        <w:rPr>
          <w:rFonts w:eastAsia="Calibri"/>
        </w:rPr>
        <w:t xml:space="preserve">social versus nonsocial stories </w:t>
      </w:r>
      <w:r w:rsidRPr="00B5481B">
        <w:rPr>
          <w:rFonts w:eastAsia="Calibri"/>
        </w:rPr>
        <w:t>significantly better than chance. The</w:t>
      </w:r>
      <w:r>
        <w:rPr>
          <w:rFonts w:eastAsia="Calibri"/>
        </w:rPr>
        <w:t xml:space="preserve"> listed clusters represent the overlap of significant clusters (p &lt; 0.05, </w:t>
      </w:r>
      <w:r w:rsidRPr="004D50B5">
        <w:rPr>
          <w:rFonts w:eastAsia="Calibri"/>
        </w:rPr>
        <w:t>corrected</w:t>
      </w:r>
      <w:r>
        <w:rPr>
          <w:rFonts w:eastAsia="Calibri"/>
        </w:rPr>
        <w:t xml:space="preserve"> using </w:t>
      </w:r>
      <w:r w:rsidRPr="004D50B5">
        <w:rPr>
          <w:rFonts w:eastAsia="Calibri"/>
        </w:rPr>
        <w:t xml:space="preserve">a cluster-defining </w:t>
      </w:r>
      <w:r>
        <w:rPr>
          <w:rFonts w:eastAsia="Calibri"/>
        </w:rPr>
        <w:t xml:space="preserve">uncorrected </w:t>
      </w:r>
      <w:r w:rsidRPr="004D50B5">
        <w:rPr>
          <w:rFonts w:eastAsia="Calibri"/>
        </w:rPr>
        <w:t>threshold of p</w:t>
      </w:r>
      <w:r>
        <w:rPr>
          <w:rFonts w:eastAsia="Calibri"/>
        </w:rPr>
        <w:t xml:space="preserve"> </w:t>
      </w:r>
      <w:r w:rsidRPr="004D50B5">
        <w:rPr>
          <w:rFonts w:eastAsia="Calibri"/>
        </w:rPr>
        <w:t>&lt;</w:t>
      </w:r>
      <w:r>
        <w:rPr>
          <w:rFonts w:eastAsia="Calibri"/>
        </w:rPr>
        <w:t xml:space="preserve"> </w:t>
      </w:r>
      <w:r w:rsidRPr="004D50B5">
        <w:rPr>
          <w:rFonts w:eastAsia="Calibri"/>
        </w:rPr>
        <w:t>0.001</w:t>
      </w:r>
      <w:r>
        <w:rPr>
          <w:rFonts w:eastAsia="Calibri"/>
        </w:rPr>
        <w:t xml:space="preserve"> and the entire brain as search space</w:t>
      </w:r>
      <w:r w:rsidRPr="004D50B5">
        <w:rPr>
          <w:rFonts w:eastAsia="Calibri"/>
        </w:rPr>
        <w:t>)</w:t>
      </w:r>
      <w:r>
        <w:rPr>
          <w:rFonts w:eastAsia="Calibri"/>
        </w:rPr>
        <w:t xml:space="preserve"> across four separate whole-brain searchlight analyses: endogenous-self</w:t>
      </w:r>
      <w:r w:rsidRPr="004D50B5">
        <w:rPr>
          <w:rFonts w:eastAsia="Calibri"/>
        </w:rPr>
        <w:t xml:space="preserve"> </w:t>
      </w:r>
      <w:r>
        <w:rPr>
          <w:rFonts w:eastAsia="Calibri"/>
        </w:rPr>
        <w:t>versus n</w:t>
      </w:r>
      <w:r w:rsidRPr="004D50B5">
        <w:rPr>
          <w:rFonts w:eastAsia="Calibri"/>
        </w:rPr>
        <w:t>onsocial,</w:t>
      </w:r>
      <w:r>
        <w:rPr>
          <w:rFonts w:eastAsia="Calibri"/>
        </w:rPr>
        <w:t xml:space="preserve"> exogenous-self</w:t>
      </w:r>
      <w:r w:rsidRPr="004D50B5">
        <w:rPr>
          <w:rFonts w:eastAsia="Calibri"/>
        </w:rPr>
        <w:t xml:space="preserve"> </w:t>
      </w:r>
      <w:r>
        <w:rPr>
          <w:rFonts w:eastAsia="Calibri"/>
        </w:rPr>
        <w:t>versus n</w:t>
      </w:r>
      <w:r w:rsidRPr="004D50B5">
        <w:rPr>
          <w:rFonts w:eastAsia="Calibri"/>
        </w:rPr>
        <w:t>onsocial</w:t>
      </w:r>
      <w:r>
        <w:rPr>
          <w:rFonts w:eastAsia="Calibri"/>
        </w:rPr>
        <w:t>, endogenous-other</w:t>
      </w:r>
      <w:r w:rsidRPr="004D50B5">
        <w:rPr>
          <w:rFonts w:eastAsia="Calibri"/>
        </w:rPr>
        <w:t xml:space="preserve"> </w:t>
      </w:r>
      <w:r>
        <w:rPr>
          <w:rFonts w:eastAsia="Calibri"/>
        </w:rPr>
        <w:t>versus n</w:t>
      </w:r>
      <w:r w:rsidRPr="004D50B5">
        <w:rPr>
          <w:rFonts w:eastAsia="Calibri"/>
        </w:rPr>
        <w:t>onsocial</w:t>
      </w:r>
      <w:r>
        <w:rPr>
          <w:rFonts w:eastAsia="Calibri"/>
        </w:rPr>
        <w:t>, and exogenous-other</w:t>
      </w:r>
      <w:r w:rsidRPr="004D50B5">
        <w:rPr>
          <w:rFonts w:eastAsia="Calibri"/>
        </w:rPr>
        <w:t xml:space="preserve"> </w:t>
      </w:r>
      <w:r>
        <w:rPr>
          <w:rFonts w:eastAsia="Calibri"/>
        </w:rPr>
        <w:t>versus n</w:t>
      </w:r>
      <w:r w:rsidRPr="004D50B5">
        <w:rPr>
          <w:rFonts w:eastAsia="Calibri"/>
        </w:rPr>
        <w:t>onsocial</w:t>
      </w:r>
      <w:r w:rsidRPr="00B5481B">
        <w:rPr>
          <w:rFonts w:eastAsia="Calibri"/>
        </w:rPr>
        <w:t>.</w:t>
      </w:r>
    </w:p>
    <w:p w14:paraId="7A9E2477" w14:textId="77777777" w:rsidR="004C2563" w:rsidRDefault="004C2563"/>
    <w:sectPr w:rsidR="004C2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63"/>
    <w:rsid w:val="004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2013E5"/>
  <w15:chartTrackingRefBased/>
  <w15:docId w15:val="{1D122F08-49AB-B140-A81A-DE8A5860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63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Guterstam</dc:creator>
  <cp:keywords/>
  <dc:description/>
  <cp:lastModifiedBy>Arvid Guterstam</cp:lastModifiedBy>
  <cp:revision>1</cp:revision>
  <dcterms:created xsi:type="dcterms:W3CDTF">2021-01-06T01:28:00Z</dcterms:created>
  <dcterms:modified xsi:type="dcterms:W3CDTF">2021-01-06T01:28:00Z</dcterms:modified>
</cp:coreProperties>
</file>