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9454" w14:textId="77777777" w:rsidR="00347C0D" w:rsidRPr="00347C0D" w:rsidRDefault="00347C0D" w:rsidP="00347C0D">
      <w:pPr>
        <w:spacing w:line="480" w:lineRule="auto"/>
        <w:rPr>
          <w:rFonts w:ascii="Times New Roman" w:eastAsia="Times New Roman" w:hAnsi="Times New Roman" w:cs="Times New Roman"/>
          <w:b/>
          <w:sz w:val="28"/>
          <w:szCs w:val="28"/>
          <w:lang w:val="uz-Cyrl-UZ" w:eastAsia="en-GB"/>
        </w:rPr>
      </w:pPr>
      <w:r w:rsidRPr="00347C0D">
        <w:rPr>
          <w:rFonts w:ascii="Times New Roman" w:eastAsia="Times New Roman" w:hAnsi="Times New Roman" w:cs="Times New Roman"/>
          <w:b/>
          <w:sz w:val="28"/>
          <w:szCs w:val="28"/>
          <w:lang w:val="uz-Cyrl-UZ" w:eastAsia="en-GB"/>
        </w:rPr>
        <w:t>Supplementary File 7</w:t>
      </w:r>
    </w:p>
    <w:p w14:paraId="7E084DE4" w14:textId="77777777" w:rsidR="00347C0D" w:rsidRDefault="00347C0D" w:rsidP="00347C0D">
      <w:pPr>
        <w:spacing w:line="480" w:lineRule="auto"/>
        <w:rPr>
          <w:rFonts w:ascii="Times New Roman" w:eastAsia="Times New Roman" w:hAnsi="Times New Roman" w:cs="Times New Roman"/>
          <w:b/>
          <w:bCs/>
          <w:lang w:val="uz-Cyrl-UZ" w:eastAsia="en-GB"/>
        </w:rPr>
      </w:pPr>
    </w:p>
    <w:p w14:paraId="387DBA0A" w14:textId="1BD9651A" w:rsidR="00347C0D" w:rsidRPr="00347C0D" w:rsidRDefault="00347C0D" w:rsidP="00347C0D">
      <w:pPr>
        <w:spacing w:line="480" w:lineRule="auto"/>
        <w:rPr>
          <w:rFonts w:ascii="Times New Roman" w:eastAsia="Times New Roman" w:hAnsi="Times New Roman" w:cs="Times New Roman"/>
          <w:b/>
          <w:bCs/>
          <w:lang w:val="uz-Cyrl-UZ" w:eastAsia="en-GB"/>
        </w:rPr>
      </w:pPr>
      <w:r w:rsidRPr="00347C0D">
        <w:rPr>
          <w:rFonts w:ascii="Times New Roman" w:eastAsia="Times New Roman" w:hAnsi="Times New Roman" w:cs="Times New Roman"/>
          <w:b/>
          <w:bCs/>
          <w:lang w:val="uz-Cyrl-UZ" w:eastAsia="en-GB"/>
        </w:rPr>
        <w:t>Searchlight Analysis</w:t>
      </w:r>
    </w:p>
    <w:p w14:paraId="4A56F48A" w14:textId="77777777" w:rsidR="00347C0D" w:rsidRPr="00347C0D" w:rsidRDefault="00347C0D" w:rsidP="00347C0D">
      <w:pPr>
        <w:spacing w:line="480" w:lineRule="auto"/>
        <w:ind w:firstLine="720"/>
        <w:contextualSpacing/>
        <w:jc w:val="both"/>
        <w:rPr>
          <w:rFonts w:ascii="Times New Roman" w:eastAsia="Times New Roman" w:hAnsi="Times New Roman" w:cs="Times New Roman"/>
          <w:bCs/>
          <w:lang w:val="uz-Cyrl-UZ" w:eastAsia="en-GB"/>
        </w:rPr>
      </w:pPr>
      <w:r w:rsidRPr="00347C0D">
        <w:rPr>
          <w:rFonts w:ascii="Times New Roman" w:eastAsia="Times New Roman" w:hAnsi="Times New Roman" w:cs="Times New Roman"/>
          <w:lang w:val="uz-Cyrl-UZ" w:eastAsia="en-GB"/>
        </w:rPr>
        <w:t>Our primary analysis,</w:t>
      </w:r>
      <w:r w:rsidRPr="00347C0D">
        <w:rPr>
          <w:rFonts w:ascii="Times New Roman" w:eastAsia="Times New Roman" w:hAnsi="Times New Roman" w:cs="Times New Roman"/>
          <w:b/>
          <w:lang w:val="uz-Cyrl-UZ" w:eastAsia="en-GB"/>
        </w:rPr>
        <w:t xml:space="preserve"> </w:t>
      </w:r>
      <w:r w:rsidRPr="00347C0D">
        <w:rPr>
          <w:rFonts w:ascii="Times New Roman" w:eastAsia="Times New Roman" w:hAnsi="Times New Roman" w:cs="Times New Roman"/>
          <w:lang w:val="uz-Cyrl-UZ" w:eastAsia="en-GB"/>
        </w:rPr>
        <w:t xml:space="preserve">described in the main text, was a targeted testing of strong hypotheses within a set of defined RIOs. Such targeted testing is preferred because it puts strong hypotheses to a direct test, and because it is more sensitive, avoiding the statistical problems of a brain-wide multiple comparison correction. Given the extremely subtle differences between the story types in the present experiment, such a targeted and sensitive analysis was preferred. However, in addition to the targeted ROI analyses, we also performed an exploratory analysis to ask whether any meaningful decoding activity might be identified outside of the ROIs. We used a searchlight analysis </w:t>
      </w:r>
      <w:r w:rsidRPr="00347C0D">
        <w:rPr>
          <w:rFonts w:ascii="Times New Roman" w:eastAsia="Times New Roman" w:hAnsi="Times New Roman" w:cs="Times New Roman"/>
          <w:lang w:val="uz-Cyrl-UZ" w:eastAsia="en-GB"/>
        </w:rPr>
        <w:fldChar w:fldCharType="begin"/>
      </w:r>
      <w:r w:rsidRPr="00347C0D">
        <w:rPr>
          <w:rFonts w:ascii="Times New Roman" w:eastAsia="Times New Roman" w:hAnsi="Times New Roman" w:cs="Times New Roman"/>
          <w:lang w:val="uz-Cyrl-UZ" w:eastAsia="en-GB"/>
        </w:rPr>
        <w:instrText xml:space="preserve"> ADDIN ZOTERO_ITEM CSL_CITATION {"citationID":"cDja2Q1M","properties":{"formattedCitation":"(Kriegeskorte et al., 2006)","plainCitation":"(Kriegeskorte et al., 2006)","noteIndex":0},"citationItems":[{"id":27,"uris":["http://zotero.org/users/35259/items/5KSGD8FT"],"uri":["http://zotero.org/users/35259/items/5KSGD8FT"],"itemData":{"id":27,"type":"article-journal","abstract":"The development of high-resolution neuroimaging and multielectrode electrophysiological recording provides neuroscientists with huge amounts of multivariate data. The complexity of the data creates a need for statistical summary, but the local averaging standardly applied to this end may obscure the effects of greatest neuroscientific interest. In neuroimaging, for example, brain mapping analysis has focused on the discovery of activation, i.e., of extended brain regions whose average activity changes across experimental conditions. Here we propose to ask a more general question of the data: Where in the brain does the activity pattern contain information about the experimental condition? To address this question, we propose scanning the imaged volume with a \"searchlight,\" whose contents are analyzed multivariately at each location in the brain.","container-title":"Proceedings of the National Academy of Sciences","ISSN":"0027-8424","issue":"10","note":"PMID: 16537458","page":"3863-3868","source":"NCBI PubMed","title":"Information-based functional brain mapping","volume":"103","author":[{"family":"Kriegeskorte","given":"Nikolaus"},{"family":"Goebel","given":"Rainer"},{"family":"Bandettini","given":"Peter"}],"issued":{"date-parts":[["2006",3,7]]}}}],"schema":"https://github.com/citation-style-language/schema/raw/master/csl-citation.json"} </w:instrText>
      </w:r>
      <w:r w:rsidRPr="00347C0D">
        <w:rPr>
          <w:rFonts w:ascii="Times New Roman" w:eastAsia="Times New Roman" w:hAnsi="Times New Roman" w:cs="Times New Roman"/>
          <w:lang w:val="uz-Cyrl-UZ" w:eastAsia="en-GB"/>
        </w:rPr>
        <w:fldChar w:fldCharType="separate"/>
      </w:r>
      <w:r w:rsidRPr="00347C0D">
        <w:rPr>
          <w:rFonts w:ascii="Times New Roman" w:eastAsia="Times New Roman" w:hAnsi="Times New Roman" w:cs="Times New Roman"/>
          <w:lang w:val="uz-Cyrl-UZ" w:eastAsia="en-GB"/>
        </w:rPr>
        <w:t>(Kriegeskorte et al., 2006)</w:t>
      </w:r>
      <w:r w:rsidRPr="00347C0D">
        <w:rPr>
          <w:rFonts w:ascii="Times New Roman" w:eastAsia="Times New Roman" w:hAnsi="Times New Roman" w:cs="Times New Roman"/>
          <w:lang w:val="uz-Cyrl-UZ" w:eastAsia="en-GB"/>
        </w:rPr>
        <w:fldChar w:fldCharType="end"/>
      </w:r>
      <w:r w:rsidRPr="00347C0D">
        <w:rPr>
          <w:rFonts w:ascii="Times New Roman" w:eastAsia="Times New Roman" w:hAnsi="Times New Roman" w:cs="Times New Roman"/>
          <w:bCs/>
          <w:lang w:val="uz-Cyrl-UZ" w:eastAsia="en-GB"/>
        </w:rPr>
        <w:t xml:space="preserve">. The searchlight analysis is fundamentally different from the ROI analysis. It is not targeted to specific brain areas on the basis of predictions. Instead, it is a whole-brain analysis that is much more statistically conservative because of the brain-wide multiple comparisons. In general, one would not expect the searchlight analysis to align perfectly with the ROI analysis. Activations revealed in the more sensitive ROI analysis might not appear in the searchlight analysis. Instead, it is exploratory in nature, and its usefulness is that it may reveal clusters of strong decoding in unanticipated areas outside the ROIs. </w:t>
      </w:r>
    </w:p>
    <w:p w14:paraId="04F022FC" w14:textId="77777777" w:rsidR="00347C0D" w:rsidRPr="00347C0D" w:rsidRDefault="00347C0D" w:rsidP="00347C0D">
      <w:pPr>
        <w:spacing w:line="480" w:lineRule="auto"/>
        <w:contextualSpacing/>
        <w:jc w:val="both"/>
        <w:rPr>
          <w:rFonts w:ascii="Times New Roman" w:eastAsia="Times New Roman" w:hAnsi="Times New Roman" w:cs="Times New Roman"/>
          <w:bCs/>
          <w:lang w:val="uz-Cyrl-UZ" w:eastAsia="en-GB"/>
        </w:rPr>
      </w:pPr>
    </w:p>
    <w:p w14:paraId="0B7AD0A7" w14:textId="77777777" w:rsidR="00347C0D" w:rsidRPr="00347C0D" w:rsidRDefault="00347C0D" w:rsidP="00347C0D">
      <w:pPr>
        <w:spacing w:line="480" w:lineRule="auto"/>
        <w:contextualSpacing/>
        <w:jc w:val="both"/>
        <w:rPr>
          <w:rFonts w:ascii="Times New Roman" w:eastAsia="Times New Roman" w:hAnsi="Times New Roman" w:cs="Times New Roman"/>
          <w:i/>
          <w:lang w:val="uz-Cyrl-UZ" w:eastAsia="en-GB"/>
        </w:rPr>
      </w:pPr>
      <w:r w:rsidRPr="00347C0D">
        <w:rPr>
          <w:rFonts w:ascii="Times New Roman" w:eastAsia="Times New Roman" w:hAnsi="Times New Roman" w:cs="Times New Roman"/>
          <w:bCs/>
          <w:i/>
          <w:lang w:val="uz-Cyrl-UZ" w:eastAsia="en-GB"/>
        </w:rPr>
        <w:t>Endogenous-vs-exogenous searchlight analysis</w:t>
      </w:r>
    </w:p>
    <w:p w14:paraId="01A34581" w14:textId="77777777" w:rsidR="00347C0D" w:rsidRPr="00347C0D" w:rsidRDefault="00347C0D" w:rsidP="00347C0D">
      <w:pPr>
        <w:spacing w:line="480" w:lineRule="auto"/>
        <w:ind w:firstLine="709"/>
        <w:contextualSpacing/>
        <w:jc w:val="both"/>
        <w:rPr>
          <w:rFonts w:ascii="Times New Roman" w:eastAsia="Times New Roman" w:hAnsi="Times New Roman" w:cs="Times New Roman"/>
          <w:bCs/>
          <w:color w:val="000000"/>
          <w:lang w:val="uz-Cyrl-UZ" w:eastAsia="en-GB"/>
        </w:rPr>
      </w:pPr>
      <w:r w:rsidRPr="00347C0D">
        <w:rPr>
          <w:rFonts w:ascii="Times New Roman" w:eastAsia="Times New Roman" w:hAnsi="Times New Roman" w:cs="Times New Roman"/>
          <w:lang w:val="uz-Cyrl-UZ" w:eastAsia="en-GB"/>
        </w:rPr>
        <w:t xml:space="preserve">First, the brain was partitioned into overlapping voxel clusters of spherical shape (10-mm radius). In each of these clusters, a decoding accuracy was computed using the same model input, SVM parameters, and procedures as described for the ROI analysis. This process resulted in an endogenous-versus-exogenous decoding accuracy map for each subject, in which the value of each voxel represents the average proportion of correctly classified trials relative to </w:t>
      </w:r>
      <w:r w:rsidRPr="00347C0D">
        <w:rPr>
          <w:rFonts w:ascii="Times New Roman" w:eastAsia="Times New Roman" w:hAnsi="Times New Roman" w:cs="Times New Roman"/>
          <w:lang w:val="uz-Cyrl-UZ" w:eastAsia="en-GB"/>
        </w:rPr>
        <w:lastRenderedPageBreak/>
        <w:t xml:space="preserve">chance level (50%) based on the 10 mm sphere of tissue surrounding that voxel. </w:t>
      </w:r>
      <w:r w:rsidRPr="00347C0D">
        <w:rPr>
          <w:rFonts w:ascii="Times New Roman" w:eastAsia="Times New Roman" w:hAnsi="Times New Roman" w:cs="Times New Roman"/>
          <w:color w:val="000000"/>
          <w:lang w:val="uz-Cyrl-UZ" w:eastAsia="en-GB"/>
        </w:rPr>
        <w:t xml:space="preserve">The subject-wise decoding maps were then smoothed using a 3-mm full-width-half-maximum (FWHM) Gaussian kernel, and </w:t>
      </w:r>
      <w:r w:rsidRPr="00347C0D">
        <w:rPr>
          <w:rFonts w:ascii="Times New Roman" w:eastAsia="Times New Roman" w:hAnsi="Times New Roman" w:cs="Times New Roman"/>
          <w:bCs/>
          <w:color w:val="000000"/>
          <w:lang w:val="uz-Cyrl-UZ" w:eastAsia="en-GB"/>
        </w:rPr>
        <w:t>entered into a second-level analysis using SPM12.</w:t>
      </w:r>
      <w:r w:rsidRPr="00347C0D">
        <w:rPr>
          <w:rFonts w:ascii="Times New Roman" w:eastAsia="Times New Roman" w:hAnsi="Times New Roman" w:cs="Times New Roman"/>
          <w:color w:val="000000"/>
          <w:lang w:val="uz-Cyrl-UZ" w:eastAsia="en-GB"/>
        </w:rPr>
        <w:t xml:space="preserve"> </w:t>
      </w:r>
      <w:r w:rsidRPr="00347C0D">
        <w:rPr>
          <w:rFonts w:ascii="Times New Roman" w:eastAsia="Times New Roman" w:hAnsi="Times New Roman" w:cs="Times New Roman"/>
          <w:bCs/>
          <w:color w:val="000000"/>
          <w:lang w:val="uz-Cyrl-UZ" w:eastAsia="en-GB"/>
        </w:rPr>
        <w:t xml:space="preserve">At the second-level, the whole-brain decoding maps were thresholded at p &lt; 0.001 (uncorrected for multiple comparisons). For statistical inference, we employed a cluster-level, whole-brain approach to find clusters that passed the threshold of p &lt; 0.05, corrected for brain-wide multiple comparisons using the familywise error rate correction as implemented by SPM12. </w:t>
      </w:r>
      <w:r w:rsidRPr="00347C0D">
        <w:rPr>
          <w:rFonts w:ascii="Times New Roman" w:eastAsia="Times New Roman" w:hAnsi="Times New Roman" w:cs="Times New Roman"/>
          <w:color w:val="000000"/>
          <w:lang w:val="uz-Cyrl-UZ" w:eastAsia="en-GB"/>
        </w:rPr>
        <w:t xml:space="preserve">In a purely descriptive manner, we also report strong decoding activity, defined as clusters </w:t>
      </w:r>
      <w:r w:rsidRPr="00347C0D">
        <w:rPr>
          <w:rFonts w:ascii="Times New Roman" w:eastAsia="Times New Roman" w:hAnsi="Times New Roman" w:cs="Times New Roman"/>
          <w:bCs/>
          <w:color w:val="000000"/>
          <w:lang w:val="uz-Cyrl-UZ" w:eastAsia="en-GB"/>
        </w:rPr>
        <w:t>≥ 10 voxels using the cluster-forming threshold of</w:t>
      </w:r>
      <w:r w:rsidRPr="00347C0D">
        <w:rPr>
          <w:rFonts w:ascii="Times New Roman" w:eastAsia="Times New Roman" w:hAnsi="Times New Roman" w:cs="Times New Roman"/>
          <w:color w:val="000000"/>
          <w:lang w:val="uz-Cyrl-UZ" w:eastAsia="en-GB"/>
        </w:rPr>
        <w:t xml:space="preserve"> p &lt; 0.001 uncorrected, that did not survive correction at the whole-brain level (Supplementary File 1).</w:t>
      </w:r>
    </w:p>
    <w:p w14:paraId="6FAE0721" w14:textId="77777777" w:rsidR="00347C0D" w:rsidRPr="00347C0D" w:rsidRDefault="00347C0D" w:rsidP="00347C0D">
      <w:pPr>
        <w:spacing w:line="480" w:lineRule="auto"/>
        <w:ind w:firstLine="567"/>
        <w:jc w:val="both"/>
        <w:rPr>
          <w:rFonts w:ascii="Times New Roman" w:eastAsia="Times New Roman" w:hAnsi="Times New Roman" w:cs="Times New Roman"/>
          <w:bCs/>
          <w:color w:val="000000"/>
          <w:lang w:val="uz-Cyrl-UZ" w:eastAsia="en-GB"/>
        </w:rPr>
      </w:pPr>
      <w:r w:rsidRPr="00347C0D">
        <w:rPr>
          <w:rFonts w:ascii="Times New Roman" w:eastAsia="Times New Roman" w:hAnsi="Times New Roman" w:cs="Times New Roman"/>
          <w:bCs/>
          <w:color w:val="000000"/>
          <w:lang w:val="uz-Cyrl-UZ" w:eastAsia="en-GB"/>
        </w:rPr>
        <w:t>Clusters revealed in the searchlight analysis were projected onto orthogonal sections of the average structural scan generated from the 32 subjects for anatomical localization. The decoding clusters were also projected onto a 3D canonical brain surface using the software Surf Ice (University of South Carolina, McCausland Center for Brain Imaging). Figure 3-figure supplement 3 shows the brain-wide peak in decoding obtained with the searchlight method.</w:t>
      </w:r>
    </w:p>
    <w:p w14:paraId="02546FB5" w14:textId="77777777" w:rsidR="00347C0D" w:rsidRPr="00347C0D" w:rsidRDefault="00347C0D" w:rsidP="00347C0D">
      <w:pPr>
        <w:spacing w:line="480" w:lineRule="auto"/>
        <w:ind w:firstLine="567"/>
        <w:jc w:val="both"/>
        <w:rPr>
          <w:rFonts w:ascii="Times New Roman" w:eastAsia="Calibri" w:hAnsi="Times New Roman" w:cs="Times New Roman"/>
          <w:color w:val="FF0000"/>
          <w:lang w:val="uz-Cyrl-UZ" w:eastAsia="en-GB"/>
        </w:rPr>
      </w:pPr>
      <w:r w:rsidRPr="00347C0D">
        <w:rPr>
          <w:rFonts w:ascii="Times New Roman" w:eastAsia="Calibri" w:hAnsi="Times New Roman" w:cs="Times New Roman"/>
          <w:lang w:val="uz-Cyrl-UZ" w:eastAsia="en-GB"/>
        </w:rPr>
        <w:t xml:space="preserve">The searchlight analysis </w:t>
      </w:r>
      <w:r w:rsidRPr="00347C0D">
        <w:rPr>
          <w:rFonts w:ascii="Times New Roman" w:eastAsia="Times New Roman" w:hAnsi="Times New Roman" w:cs="Times New Roman"/>
          <w:bCs/>
          <w:lang w:val="uz-Cyrl-UZ" w:eastAsia="en-GB"/>
        </w:rPr>
        <w:t xml:space="preserve">revealed no clusters that were brain-wide significant at the corrected p &lt; 0.05 threshold. When examining the voxel-wise p &lt; 0.001 threshold, </w:t>
      </w:r>
      <w:r w:rsidRPr="00347C0D">
        <w:rPr>
          <w:rFonts w:ascii="Times New Roman" w:eastAsia="Calibri" w:hAnsi="Times New Roman" w:cs="Times New Roman"/>
          <w:lang w:val="uz-Cyrl-UZ" w:eastAsia="en-GB"/>
        </w:rPr>
        <w:t xml:space="preserve">four clusters </w:t>
      </w:r>
      <w:r w:rsidRPr="00347C0D">
        <w:rPr>
          <w:rFonts w:ascii="Times New Roman" w:eastAsia="Times New Roman" w:hAnsi="Times New Roman" w:cs="Times New Roman"/>
          <w:color w:val="000000"/>
          <w:lang w:val="uz-Cyrl-UZ" w:eastAsia="en-GB"/>
        </w:rPr>
        <w:t>(</w:t>
      </w:r>
      <w:r w:rsidRPr="00347C0D">
        <w:rPr>
          <w:rFonts w:ascii="Times New Roman" w:eastAsia="Times New Roman" w:hAnsi="Times New Roman" w:cs="Times New Roman"/>
          <w:bCs/>
          <w:lang w:val="uz-Cyrl-UZ" w:eastAsia="en-GB"/>
        </w:rPr>
        <w:t xml:space="preserve">≥10 voxels) were observed (see </w:t>
      </w:r>
      <w:r w:rsidRPr="00347C0D">
        <w:rPr>
          <w:rFonts w:ascii="Times New Roman" w:eastAsia="Calibri" w:hAnsi="Times New Roman" w:cs="Times New Roman"/>
          <w:lang w:val="uz-Cyrl-UZ" w:eastAsia="en-GB"/>
        </w:rPr>
        <w:t xml:space="preserve">Supplementary File 1 for details). </w:t>
      </w:r>
      <w:r w:rsidRPr="00347C0D">
        <w:rPr>
          <w:rFonts w:ascii="Times New Roman" w:eastAsia="Times New Roman" w:hAnsi="Times New Roman" w:cs="Times New Roman"/>
          <w:color w:val="000000"/>
          <w:lang w:val="uz-Cyrl-UZ" w:eastAsia="en-GB"/>
        </w:rPr>
        <w:t>The</w:t>
      </w:r>
      <w:r w:rsidRPr="00347C0D">
        <w:rPr>
          <w:rFonts w:ascii="Times New Roman" w:eastAsia="Calibri" w:hAnsi="Times New Roman" w:cs="Times New Roman"/>
          <w:lang w:val="uz-Cyrl-UZ" w:eastAsia="en-GB"/>
        </w:rPr>
        <w:t xml:space="preserve"> strongest peak decoding (t = 4.21) was located in the left posterior STS (see Figure 3-figure supplement 3). </w:t>
      </w:r>
      <w:r w:rsidRPr="00347C0D">
        <w:rPr>
          <w:rFonts w:ascii="Times New Roman" w:eastAsia="Calibri" w:hAnsi="Times New Roman" w:cs="Times New Roman"/>
          <w:highlight w:val="yellow"/>
          <w:lang w:val="uz-Cyrl-UZ" w:eastAsia="en-GB"/>
        </w:rPr>
        <w:t>Although this peak was located 22 mm anterior to the center of our left TPJ ROI, it does fall within the same subregion</w:t>
      </w:r>
      <w:r w:rsidRPr="00347C0D">
        <w:rPr>
          <w:rFonts w:ascii="Times New Roman" w:eastAsia="Times New Roman" w:hAnsi="Times New Roman" w:cs="Times New Roman"/>
          <w:highlight w:val="yellow"/>
          <w:lang w:val="uz-Cyrl-UZ" w:eastAsia="en-GB"/>
        </w:rPr>
        <w:t xml:space="preserve"> of TPJ (the </w:t>
      </w:r>
      <w:r w:rsidRPr="00347C0D">
        <w:rPr>
          <w:rFonts w:ascii="Times New Roman" w:eastAsia="Calibri" w:hAnsi="Times New Roman" w:cs="Times New Roman"/>
          <w:highlight w:val="yellow"/>
          <w:lang w:val="uz-Cyrl-UZ" w:eastAsia="en-GB"/>
        </w:rPr>
        <w:t xml:space="preserve">posterior TPJ, TPJp) identified by several previous accounts </w:t>
      </w:r>
      <w:r w:rsidRPr="00347C0D">
        <w:rPr>
          <w:rFonts w:ascii="Times New Roman" w:eastAsia="Calibri" w:hAnsi="Times New Roman" w:cs="Times New Roman"/>
          <w:highlight w:val="yellow"/>
          <w:lang w:val="uz-Cyrl-UZ" w:eastAsia="en-GB"/>
        </w:rPr>
        <w:fldChar w:fldCharType="begin"/>
      </w:r>
      <w:r w:rsidRPr="00347C0D">
        <w:rPr>
          <w:rFonts w:ascii="Times New Roman" w:eastAsia="Calibri" w:hAnsi="Times New Roman" w:cs="Times New Roman"/>
          <w:highlight w:val="yellow"/>
          <w:lang w:val="uz-Cyrl-UZ" w:eastAsia="en-GB"/>
        </w:rPr>
        <w:instrText xml:space="preserve"> ADDIN ZOTERO_ITEM CSL_CITATION {"citationID":"69zwl4wh","properties":{"formattedCitation":"(Bzdok et al., 2013; Mars et al., 2012)","plainCitation":"(Bzdok et al., 2013; Mars et al., 2012)","noteIndex":0},"citationItems":[{"id":3074,"uris":["http://zotero.org/users/35259/items/4XCKVZIG"],"uri":["http://zotero.org/users/35259/items/4XCKVZIG"],"itemData":{"id":3074,"type":"article-journal","abstract":"The right temporo-parietal junction (RTPJ) is consistently implicated in two cognitive domains, attention and social cognitions. We conducted multi-modal connectivity-based parcellation to investigate potentially separate functional modules within RTPJ implementing this cognitive dualism. Both task-constrained meta-analytic coactivation mapping and task-free resting-state connectivity analysis independently identified two distinct clusters within RTPJ, subsequently characterized by network mapping and functional forward/reverse inference. Coactivation mapping and resting-state correlations revealed that the anterior cluster increased neural activity concomitantly with a midcingulate–motor–insular network, functionally associated with attention, and decreased neural activity concomitantly with a parietal network, functionally associated with social cognition and memory retrieval. The posterior cluster showed the exact opposite association pattern. Our data thus suggest that RTPJ links two antagonistic brain networks processing external versus internal information.","container-title":"NeuroImage","DOI":"10.1016/j.neuroimage.2013.05.046","ISSN":"1053-8119","journalAbbreviation":"Neuroimage","note":"PMID: 23689016\nPMCID: PMC4791053","page":"381-392","source":"PubMed Central","title":"Characterization of the temporo-parietal junction by combining data-driven parcellation, complementary connectivity analyses, and functional decoding","volume":"81","author":[{"family":"Bzdok","given":"Danilo"},{"family":"Langner","given":"Robert"},{"family":"Schilbach","given":"Leonhard"},{"family":"Jakobs","given":"Oliver"},{"family":"Roski","given":"Christian"},{"family":"Caspers","given":"Svenja"},{"family":"Laird","given":"Angela R."},{"family":"Fox","given":"Peter T."},{"family":"Zilles","given":"Karl"},{"family":"Eickhoff","given":"Simon B."}],"issued":{"date-parts":[["2013",11,1]]}},"label":"page"},{"id":3040,"uris":["http://zotero.org/users/35259/items/5BDM7ST6"],"uri":["http://zotero.org/users/35259/items/5BDM7ST6"],"itemData":{"id":3040,"type":"article-journal","abstract":"Controversy surrounds the role of the temporoparietal junction (TPJ) area of the human brain. Although TPJ has been implicated both in reorienting of attention and social cognition, it is still unclear whether these functions have the same neural basis. Indeed, whether TPJ is a precisely identifiable cortical region or a cluster of subregions with separate functions is still a matter of debate. Here, we examined the structural and functional connectivity of TPJ, testing whether TPJ is a unitary area with a heterogeneous functional connectivity profile or a conglomerate of regions with distinctive connectivity. Diffusion-weighted imaging tractrography–based parcellation identified 3 separate regions in TPJ. Resting-state functional connectivity was then used to establish which cortical networks each of these subregions participates in. A dorsal cluster in the middle part of the inferior parietal lobule showed resting-state functional connectivity with, among other areas, lateral anterior prefrontal cortex. Ventrally, an anterior TPJ cluster interacted with ventral prefrontal cortex and anterior insula, while a posterior TPJ cluster interacted with posterior cingulate, temporal pole, and anterior medial prefrontal cortex. These results indicate that TPJ can be subdivided into subregions on the basis of its structural and functional connectivity.","container-title":"Cerebral Cortex","DOI":"10.1093/cercor/bhr268","ISSN":"1047-3211","issue":"8","journalAbbreviation":"Cerebral Cortex","page":"1894-1903","source":"Silverchair","title":"Connectivity-Based Subdivisions of the Human Right “Temporoparietal Junction Area”: Evidence for Different Areas Participating in Different Cortical Networks","title-short":"Connectivity-Based Subdivisions of the Human Right “Temporoparietal Junction Area”","volume":"22","author":[{"family":"Mars","given":"Rogier B."},{"family":"Sallet","given":"Jérôme"},{"family":"Schüffelgen","given":"Urs"},{"family":"Jbabdi","given":"Saad"},{"family":"Toni","given":"Ivan"},{"family":"Rushworth","given":"Matthew F. S."}],"issued":{"date-parts":[["2012",8,1]]}},"label":"page"}],"schema":"https://github.com/citation-style-language/schema/raw/master/csl-citation.json"} </w:instrText>
      </w:r>
      <w:r w:rsidRPr="00347C0D">
        <w:rPr>
          <w:rFonts w:ascii="Times New Roman" w:eastAsia="Calibri" w:hAnsi="Times New Roman" w:cs="Times New Roman"/>
          <w:highlight w:val="yellow"/>
          <w:lang w:val="uz-Cyrl-UZ" w:eastAsia="en-GB"/>
        </w:rPr>
        <w:fldChar w:fldCharType="separate"/>
      </w:r>
      <w:r w:rsidRPr="00347C0D">
        <w:rPr>
          <w:rFonts w:ascii="Times New Roman" w:eastAsia="Calibri" w:hAnsi="Times New Roman" w:cs="Times New Roman"/>
          <w:noProof/>
          <w:highlight w:val="yellow"/>
          <w:lang w:val="uz-Cyrl-UZ" w:eastAsia="en-GB"/>
        </w:rPr>
        <w:t>(Bzdok et al., 2013; Mars et al., 2012)</w:t>
      </w:r>
      <w:r w:rsidRPr="00347C0D">
        <w:rPr>
          <w:rFonts w:ascii="Times New Roman" w:eastAsia="Calibri" w:hAnsi="Times New Roman" w:cs="Times New Roman"/>
          <w:highlight w:val="yellow"/>
          <w:lang w:val="uz-Cyrl-UZ" w:eastAsia="en-GB"/>
        </w:rPr>
        <w:fldChar w:fldCharType="end"/>
      </w:r>
      <w:r w:rsidRPr="00347C0D">
        <w:rPr>
          <w:rFonts w:ascii="Times New Roman" w:eastAsia="Calibri" w:hAnsi="Times New Roman" w:cs="Times New Roman"/>
          <w:highlight w:val="yellow"/>
          <w:lang w:val="uz-Cyrl-UZ" w:eastAsia="en-GB"/>
        </w:rPr>
        <w:t>, and is thus roughly consistent with our main, ROI analysis.</w:t>
      </w:r>
      <w:r w:rsidRPr="00347C0D">
        <w:rPr>
          <w:rFonts w:ascii="Times New Roman" w:eastAsia="Calibri" w:hAnsi="Times New Roman" w:cs="Times New Roman"/>
          <w:color w:val="FF0000"/>
          <w:lang w:val="uz-Cyrl-UZ" w:eastAsia="en-GB"/>
        </w:rPr>
        <w:t xml:space="preserve"> </w:t>
      </w:r>
    </w:p>
    <w:p w14:paraId="7C4E355D" w14:textId="77777777" w:rsidR="00347C0D" w:rsidRPr="00347C0D" w:rsidRDefault="00347C0D" w:rsidP="00347C0D">
      <w:pPr>
        <w:spacing w:line="480" w:lineRule="auto"/>
        <w:jc w:val="both"/>
        <w:rPr>
          <w:rFonts w:ascii="Times New Roman" w:eastAsia="Calibri" w:hAnsi="Times New Roman" w:cs="Times New Roman"/>
          <w:color w:val="FF0000"/>
          <w:lang w:val="uz-Cyrl-UZ" w:eastAsia="en-GB"/>
        </w:rPr>
      </w:pPr>
    </w:p>
    <w:p w14:paraId="0091BF74" w14:textId="77777777" w:rsidR="00347C0D" w:rsidRDefault="00347C0D">
      <w:pPr>
        <w:rPr>
          <w:rFonts w:ascii="Times New Roman" w:eastAsia="Calibri" w:hAnsi="Times New Roman" w:cs="Times New Roman"/>
          <w:i/>
          <w:color w:val="000000"/>
          <w:lang w:val="uz-Cyrl-UZ" w:eastAsia="en-GB"/>
        </w:rPr>
      </w:pPr>
      <w:r>
        <w:rPr>
          <w:rFonts w:ascii="Times New Roman" w:eastAsia="Calibri" w:hAnsi="Times New Roman" w:cs="Times New Roman"/>
          <w:i/>
          <w:color w:val="000000"/>
          <w:lang w:val="uz-Cyrl-UZ" w:eastAsia="en-GB"/>
        </w:rPr>
        <w:br w:type="page"/>
      </w:r>
    </w:p>
    <w:p w14:paraId="5F621CFB" w14:textId="1FA10D8E" w:rsidR="00347C0D" w:rsidRPr="00347C0D" w:rsidRDefault="00347C0D" w:rsidP="00347C0D">
      <w:pPr>
        <w:spacing w:line="480" w:lineRule="auto"/>
        <w:jc w:val="both"/>
        <w:rPr>
          <w:rFonts w:ascii="Times New Roman" w:eastAsia="Times New Roman" w:hAnsi="Times New Roman" w:cs="Times New Roman"/>
          <w:bCs/>
          <w:i/>
          <w:color w:val="000000"/>
          <w:lang w:val="uz-Cyrl-UZ" w:eastAsia="en-GB"/>
        </w:rPr>
      </w:pPr>
      <w:r w:rsidRPr="00347C0D">
        <w:rPr>
          <w:rFonts w:ascii="Times New Roman" w:eastAsia="Calibri" w:hAnsi="Times New Roman" w:cs="Times New Roman"/>
          <w:i/>
          <w:color w:val="000000"/>
          <w:lang w:val="uz-Cyrl-UZ" w:eastAsia="en-GB"/>
        </w:rPr>
        <w:lastRenderedPageBreak/>
        <w:t>Self-versus-other searchlight analysis</w:t>
      </w:r>
    </w:p>
    <w:p w14:paraId="51FEC530" w14:textId="77777777" w:rsidR="00347C0D" w:rsidRPr="00347C0D" w:rsidRDefault="00347C0D" w:rsidP="00347C0D">
      <w:pPr>
        <w:spacing w:line="480" w:lineRule="auto"/>
        <w:ind w:firstLine="567"/>
        <w:jc w:val="both"/>
        <w:rPr>
          <w:rFonts w:ascii="Times New Roman" w:eastAsia="Calibri" w:hAnsi="Times New Roman" w:cs="Times New Roman"/>
          <w:lang w:val="uz-Cyrl-UZ" w:eastAsia="en-GB"/>
        </w:rPr>
      </w:pPr>
      <w:r w:rsidRPr="00347C0D">
        <w:rPr>
          <w:rFonts w:ascii="Times New Roman" w:eastAsia="Times New Roman" w:hAnsi="Times New Roman" w:cs="Times New Roman"/>
          <w:bCs/>
          <w:color w:val="000000"/>
          <w:lang w:val="uz-Cyrl-UZ" w:eastAsia="en-GB"/>
        </w:rPr>
        <w:t xml:space="preserve">The same method used for the exogenous-versus-endogenous searchlight analysis was used for the self-versus-other searchlight analysis. </w:t>
      </w:r>
      <w:r w:rsidRPr="00347C0D">
        <w:rPr>
          <w:rFonts w:ascii="Times New Roman" w:eastAsia="Calibri" w:hAnsi="Times New Roman" w:cs="Times New Roman"/>
          <w:lang w:val="uz-Cyrl-UZ" w:eastAsia="en-GB"/>
        </w:rPr>
        <w:t>The analysis revealed four clusters that significantly decoded the self-versus-other distinction (p &lt; 0.05) after correcting for multiple comparisons using the whole brain as search space. The global decoding peak was located on the left angular gyrus (part of TPJ; see Figure 3-figure supplement 4) (t = 5.92), which is compatible with our main ROI decoding results.</w:t>
      </w:r>
      <w:r w:rsidRPr="00347C0D">
        <w:rPr>
          <w:rFonts w:ascii="Times New Roman" w:eastAsia="Times New Roman" w:hAnsi="Times New Roman" w:cs="Times New Roman"/>
          <w:bCs/>
          <w:lang w:val="uz-Cyrl-UZ" w:eastAsia="en-GB"/>
        </w:rPr>
        <w:t xml:space="preserve"> All decoding clusters, including those passing the uncorrected threshold p &lt; 0.001, are listed in </w:t>
      </w:r>
      <w:r w:rsidRPr="00347C0D">
        <w:rPr>
          <w:rFonts w:ascii="Times New Roman" w:eastAsia="Calibri" w:hAnsi="Times New Roman" w:cs="Times New Roman"/>
          <w:lang w:val="uz-Cyrl-UZ" w:eastAsia="en-GB"/>
        </w:rPr>
        <w:t>Supplementary File 2.</w:t>
      </w:r>
    </w:p>
    <w:p w14:paraId="35DFB3E1" w14:textId="77777777" w:rsidR="00347C0D" w:rsidRPr="00347C0D" w:rsidRDefault="00347C0D" w:rsidP="00347C0D">
      <w:pPr>
        <w:spacing w:line="480" w:lineRule="auto"/>
        <w:ind w:firstLine="567"/>
        <w:jc w:val="both"/>
        <w:rPr>
          <w:rFonts w:ascii="Times New Roman" w:eastAsia="Calibri" w:hAnsi="Times New Roman" w:cs="Times New Roman"/>
          <w:lang w:val="uz-Cyrl-UZ" w:eastAsia="en-GB"/>
        </w:rPr>
      </w:pPr>
    </w:p>
    <w:p w14:paraId="620498BA" w14:textId="77777777" w:rsidR="00347C0D" w:rsidRPr="00347C0D" w:rsidRDefault="00347C0D" w:rsidP="00347C0D">
      <w:pPr>
        <w:spacing w:line="480" w:lineRule="auto"/>
        <w:jc w:val="both"/>
        <w:rPr>
          <w:rFonts w:ascii="Times New Roman" w:eastAsia="Times New Roman" w:hAnsi="Times New Roman" w:cs="Times New Roman"/>
          <w:bCs/>
          <w:i/>
          <w:color w:val="000000"/>
          <w:lang w:val="uz-Cyrl-UZ" w:eastAsia="en-GB"/>
        </w:rPr>
      </w:pPr>
      <w:r w:rsidRPr="00347C0D">
        <w:rPr>
          <w:rFonts w:ascii="Times New Roman" w:eastAsia="Calibri" w:hAnsi="Times New Roman" w:cs="Times New Roman"/>
          <w:i/>
          <w:color w:val="000000"/>
          <w:lang w:val="uz-Cyrl-UZ" w:eastAsia="en-GB"/>
        </w:rPr>
        <w:t>Endogenous-versus-exogenous X self-versus-other searchlight analysis</w:t>
      </w:r>
    </w:p>
    <w:p w14:paraId="6563F72D" w14:textId="77777777" w:rsidR="00347C0D" w:rsidRPr="00347C0D" w:rsidRDefault="00347C0D" w:rsidP="00347C0D">
      <w:pPr>
        <w:spacing w:line="480" w:lineRule="auto"/>
        <w:ind w:firstLine="567"/>
        <w:jc w:val="both"/>
        <w:rPr>
          <w:rFonts w:ascii="Times New Roman" w:eastAsia="Calibri" w:hAnsi="Times New Roman" w:cs="Times New Roman"/>
          <w:lang w:val="uz-Cyrl-UZ" w:eastAsia="en-GB"/>
        </w:rPr>
      </w:pPr>
      <w:r w:rsidRPr="00347C0D">
        <w:rPr>
          <w:rFonts w:ascii="Times New Roman" w:eastAsia="Times New Roman" w:hAnsi="Times New Roman" w:cs="Times New Roman"/>
          <w:bCs/>
          <w:color w:val="000000"/>
          <w:lang w:val="uz-Cyrl-UZ" w:eastAsia="en-GB"/>
        </w:rPr>
        <w:t xml:space="preserve">The same method as in the previous sections was used for the interaction, or exogenous-versus-endogenous X self-versus-other, searchlight analysis. </w:t>
      </w:r>
      <w:r w:rsidRPr="00347C0D">
        <w:rPr>
          <w:rFonts w:ascii="Times New Roman" w:eastAsia="Calibri" w:hAnsi="Times New Roman" w:cs="Times New Roman"/>
          <w:lang w:val="uz-Cyrl-UZ" w:eastAsia="en-GB"/>
        </w:rPr>
        <w:t xml:space="preserve">The analysis revealed no clusters that decoded the endogenous-versus-exogenous distinction significantly (p &lt; 0.05, after correcting for multiple comparisons using the whole brain as search space) different in self-related compared to other-related stories. </w:t>
      </w:r>
      <w:r w:rsidRPr="00347C0D">
        <w:rPr>
          <w:rFonts w:ascii="Times New Roman" w:eastAsia="Times New Roman" w:hAnsi="Times New Roman" w:cs="Times New Roman"/>
          <w:bCs/>
          <w:lang w:val="uz-Cyrl-UZ" w:eastAsia="en-GB"/>
        </w:rPr>
        <w:t xml:space="preserve">When examining the voxel-wise p &lt; 0.001 threshold, </w:t>
      </w:r>
      <w:r w:rsidRPr="00347C0D">
        <w:rPr>
          <w:rFonts w:ascii="Times New Roman" w:eastAsia="Calibri" w:hAnsi="Times New Roman" w:cs="Times New Roman"/>
          <w:lang w:val="uz-Cyrl-UZ" w:eastAsia="en-GB"/>
        </w:rPr>
        <w:t xml:space="preserve">two clusters </w:t>
      </w:r>
      <w:r w:rsidRPr="00347C0D">
        <w:rPr>
          <w:rFonts w:ascii="Times New Roman" w:eastAsia="Times New Roman" w:hAnsi="Times New Roman" w:cs="Times New Roman"/>
          <w:bCs/>
          <w:lang w:val="uz-Cyrl-UZ" w:eastAsia="en-GB"/>
        </w:rPr>
        <w:t xml:space="preserve">were observed (see </w:t>
      </w:r>
      <w:r w:rsidRPr="00347C0D">
        <w:rPr>
          <w:rFonts w:ascii="Times New Roman" w:eastAsia="Calibri" w:hAnsi="Times New Roman" w:cs="Times New Roman"/>
          <w:lang w:val="uz-Cyrl-UZ" w:eastAsia="en-GB"/>
        </w:rPr>
        <w:t xml:space="preserve">Supplementary File 3 for details). </w:t>
      </w:r>
      <w:r w:rsidRPr="00347C0D">
        <w:rPr>
          <w:rFonts w:ascii="Times New Roman" w:eastAsia="Times New Roman" w:hAnsi="Times New Roman" w:cs="Times New Roman"/>
          <w:color w:val="000000"/>
          <w:lang w:val="uz-Cyrl-UZ" w:eastAsia="en-GB"/>
        </w:rPr>
        <w:t>The</w:t>
      </w:r>
      <w:r w:rsidRPr="00347C0D">
        <w:rPr>
          <w:rFonts w:ascii="Times New Roman" w:eastAsia="Calibri" w:hAnsi="Times New Roman" w:cs="Times New Roman"/>
          <w:lang w:val="uz-Cyrl-UZ" w:eastAsia="en-GB"/>
        </w:rPr>
        <w:t xml:space="preserve"> strongest peak decoding (t = 4.20) was located in the left posterior STS (Figure 3-figure supplement 5).</w:t>
      </w:r>
      <w:r w:rsidRPr="00347C0D">
        <w:rPr>
          <w:rFonts w:ascii="Times New Roman" w:eastAsia="Calibri" w:hAnsi="Times New Roman" w:cs="Times New Roman"/>
          <w:color w:val="FF0000"/>
          <w:lang w:val="uz-Cyrl-UZ" w:eastAsia="en-GB"/>
        </w:rPr>
        <w:t xml:space="preserve"> </w:t>
      </w:r>
      <w:r w:rsidRPr="00347C0D">
        <w:rPr>
          <w:rFonts w:ascii="Times New Roman" w:eastAsia="Times New Roman" w:hAnsi="Times New Roman" w:cs="Times New Roman"/>
          <w:bCs/>
          <w:lang w:val="uz-Cyrl-UZ" w:eastAsia="en-GB"/>
        </w:rPr>
        <w:t xml:space="preserve">All decoding clusters, including those passing the uncorrected threshold p &lt; 0.001, are listed in </w:t>
      </w:r>
      <w:r w:rsidRPr="00347C0D">
        <w:rPr>
          <w:rFonts w:ascii="Times New Roman" w:eastAsia="Calibri" w:hAnsi="Times New Roman" w:cs="Times New Roman"/>
          <w:lang w:val="uz-Cyrl-UZ" w:eastAsia="en-GB"/>
        </w:rPr>
        <w:t>Supplementary File 3.</w:t>
      </w:r>
    </w:p>
    <w:p w14:paraId="470E70DC" w14:textId="77777777" w:rsidR="00347C0D" w:rsidRPr="00347C0D" w:rsidRDefault="00347C0D" w:rsidP="00347C0D">
      <w:pPr>
        <w:spacing w:line="480" w:lineRule="auto"/>
        <w:ind w:firstLine="567"/>
        <w:jc w:val="both"/>
        <w:rPr>
          <w:rFonts w:ascii="Times New Roman" w:eastAsia="Calibri" w:hAnsi="Times New Roman" w:cs="Times New Roman"/>
          <w:lang w:val="uz-Cyrl-UZ" w:eastAsia="en-GB"/>
        </w:rPr>
      </w:pPr>
    </w:p>
    <w:p w14:paraId="100C76E6" w14:textId="77777777" w:rsidR="00347C0D" w:rsidRPr="00347C0D" w:rsidRDefault="00347C0D" w:rsidP="00347C0D">
      <w:pPr>
        <w:spacing w:line="480" w:lineRule="auto"/>
        <w:jc w:val="both"/>
        <w:rPr>
          <w:rFonts w:ascii="Times New Roman" w:eastAsia="Calibri" w:hAnsi="Times New Roman" w:cs="Times New Roman"/>
          <w:i/>
          <w:lang w:val="uz-Cyrl-UZ" w:eastAsia="en-GB"/>
        </w:rPr>
      </w:pPr>
      <w:r w:rsidRPr="00347C0D">
        <w:rPr>
          <w:rFonts w:ascii="Times New Roman" w:eastAsia="Calibri" w:hAnsi="Times New Roman" w:cs="Times New Roman"/>
          <w:i/>
          <w:lang w:val="uz-Cyrl-UZ" w:eastAsia="en-GB"/>
        </w:rPr>
        <w:t>Social-versus-nonsocial searchlight analysis</w:t>
      </w:r>
    </w:p>
    <w:p w14:paraId="493A1A44" w14:textId="77777777" w:rsidR="00347C0D" w:rsidRPr="00347C0D" w:rsidRDefault="00347C0D" w:rsidP="00347C0D">
      <w:pPr>
        <w:spacing w:line="480" w:lineRule="auto"/>
        <w:ind w:firstLine="720"/>
        <w:jc w:val="both"/>
        <w:rPr>
          <w:rFonts w:ascii="Times New Roman" w:eastAsia="Calibri" w:hAnsi="Times New Roman" w:cs="Times New Roman"/>
          <w:lang w:val="uz-Cyrl-UZ" w:eastAsia="en-GB"/>
        </w:rPr>
      </w:pPr>
      <w:r w:rsidRPr="00347C0D">
        <w:rPr>
          <w:rFonts w:ascii="Times New Roman" w:eastAsia="Calibri" w:hAnsi="Times New Roman" w:cs="Times New Roman"/>
          <w:lang w:val="uz-Cyrl-UZ" w:eastAsia="en-GB"/>
        </w:rPr>
        <w:t xml:space="preserve">For this analysis, we performed four separate whole-brain searchlight analyses, testing for decoding that distinguished social from nonsocial stories. Each of the four analyses was restricted to comparing a specific type of social story to the nonsocial control: endogenous-self versus nonsocial, exogenous-self versus nonsocial, endogenous-other versus nonsocial, and </w:t>
      </w:r>
      <w:r w:rsidRPr="00347C0D">
        <w:rPr>
          <w:rFonts w:ascii="Times New Roman" w:eastAsia="Calibri" w:hAnsi="Times New Roman" w:cs="Times New Roman"/>
          <w:lang w:val="uz-Cyrl-UZ" w:eastAsia="en-GB"/>
        </w:rPr>
        <w:lastRenderedPageBreak/>
        <w:t>exogenous-other versus nonsocial. We first identified clusters that passed a threshold of p &lt; 0.05 corrected using the entire brain as search space. We then found brain areas of overlap, that were ≥10 voxels in size, between the decoding clusters obtained in the four different analyses. These areas of overlap represent brain regions that showed significant decoding for the social-versus-nonsocial comparison, in a consistent manner, across all types of social stimuli. Using this method, four brain areas were obtained (see Supplementary File 4 and Figure 4-figure supplement 1  for details).</w:t>
      </w:r>
    </w:p>
    <w:p w14:paraId="550E6BD5" w14:textId="77777777" w:rsidR="00347C0D" w:rsidRPr="00347C0D" w:rsidRDefault="00347C0D" w:rsidP="00347C0D">
      <w:pPr>
        <w:spacing w:line="480" w:lineRule="auto"/>
        <w:rPr>
          <w:rFonts w:ascii="Times New Roman" w:eastAsia="Calibri" w:hAnsi="Times New Roman" w:cs="Times New Roman"/>
          <w:lang w:val="uz-Cyrl-UZ" w:eastAsia="en-GB"/>
        </w:rPr>
      </w:pPr>
    </w:p>
    <w:p w14:paraId="254BAF02" w14:textId="77777777" w:rsidR="00347C0D" w:rsidRPr="00347C0D" w:rsidRDefault="00347C0D" w:rsidP="00347C0D">
      <w:pPr>
        <w:spacing w:line="480" w:lineRule="auto"/>
        <w:rPr>
          <w:rFonts w:ascii="Times New Roman" w:eastAsia="Times New Roman" w:hAnsi="Times New Roman" w:cs="Times New Roman"/>
          <w:b/>
          <w:lang w:val="uz-Cyrl-UZ" w:eastAsia="en-GB"/>
        </w:rPr>
      </w:pPr>
      <w:r w:rsidRPr="00347C0D">
        <w:rPr>
          <w:rFonts w:ascii="Times New Roman" w:eastAsia="Times New Roman" w:hAnsi="Times New Roman" w:cs="Times New Roman"/>
          <w:b/>
          <w:bCs/>
          <w:lang w:val="uz-Cyrl-UZ" w:eastAsia="en-GB"/>
        </w:rPr>
        <w:t>Eye-Tracking Decoding</w:t>
      </w:r>
    </w:p>
    <w:p w14:paraId="41723E62" w14:textId="54854D3F" w:rsidR="00347C0D" w:rsidRDefault="00347C0D" w:rsidP="003131F7">
      <w:pPr>
        <w:spacing w:line="480" w:lineRule="auto"/>
        <w:ind w:firstLine="567"/>
      </w:pPr>
      <w:r w:rsidRPr="00347C0D">
        <w:rPr>
          <w:rFonts w:ascii="Times New Roman" w:eastAsia="Times New Roman" w:hAnsi="Times New Roman" w:cs="Times New Roman"/>
          <w:color w:val="000000"/>
          <w:lang w:val="uz-Cyrl-UZ" w:eastAsia="en-GB"/>
        </w:rPr>
        <w:t xml:space="preserve">To examine whether eye movement dynamics could explain our fMRI decoding results, we systematically organized eye position and saccade data into gaze pattern vectors, and submitted it to a decoding model analogue to the one used for the fMRI data (see Methods for details). Out of 32 subjects, 27 had usable eye tracking data available (five subjects had data with unacceptable levels of noise due to either the presence of glasses or a partially occluded pupil). The results showed that this classifier, based solely on eye tracking data, could not decode attention type </w:t>
      </w:r>
      <w:r w:rsidRPr="00347C0D">
        <w:rPr>
          <w:rFonts w:ascii="Times New Roman" w:eastAsia="Times New Roman" w:hAnsi="Times New Roman" w:cs="Times New Roman"/>
          <w:bCs/>
          <w:color w:val="000000"/>
          <w:lang w:val="uz-Cyrl-UZ" w:eastAsia="en-GB"/>
        </w:rPr>
        <w:t xml:space="preserve">(endogenous-versus-exogenous </w:t>
      </w:r>
      <w:r w:rsidRPr="00347C0D">
        <w:rPr>
          <w:rFonts w:ascii="Times New Roman" w:eastAsia="Times New Roman" w:hAnsi="Times New Roman" w:cs="Times New Roman"/>
          <w:color w:val="000000"/>
          <w:lang w:val="uz-Cyrl-UZ" w:eastAsia="en-GB"/>
        </w:rPr>
        <w:t>decoding accuracy 55.2%, p=0.102) or agent (self-versus-other</w:t>
      </w:r>
      <w:r w:rsidRPr="00347C0D">
        <w:rPr>
          <w:rFonts w:ascii="Times New Roman" w:eastAsia="Times New Roman" w:hAnsi="Times New Roman" w:cs="Times New Roman"/>
          <w:bCs/>
          <w:color w:val="000000"/>
          <w:lang w:val="uz-Cyrl-UZ" w:eastAsia="en-GB"/>
        </w:rPr>
        <w:t xml:space="preserve"> </w:t>
      </w:r>
      <w:r w:rsidRPr="00347C0D">
        <w:rPr>
          <w:rFonts w:ascii="Times New Roman" w:eastAsia="Times New Roman" w:hAnsi="Times New Roman" w:cs="Times New Roman"/>
          <w:color w:val="000000"/>
          <w:lang w:val="uz-Cyrl-UZ" w:eastAsia="en-GB"/>
        </w:rPr>
        <w:t xml:space="preserve">decoding accuracy 52.4%, p=0.376) significantly better than chance level. See Figure 3-figure supplement </w:t>
      </w:r>
      <w:r w:rsidR="00312215">
        <w:rPr>
          <w:rFonts w:ascii="Times New Roman" w:eastAsia="Times New Roman" w:hAnsi="Times New Roman" w:cs="Times New Roman"/>
          <w:color w:val="000000"/>
          <w:lang w:val="en-US" w:eastAsia="en-GB"/>
        </w:rPr>
        <w:t>8</w:t>
      </w:r>
      <w:r w:rsidRPr="00347C0D">
        <w:rPr>
          <w:rFonts w:ascii="Times New Roman" w:eastAsia="Times New Roman" w:hAnsi="Times New Roman" w:cs="Times New Roman"/>
          <w:color w:val="000000"/>
          <w:lang w:val="uz-Cyrl-UZ" w:eastAsia="en-GB"/>
        </w:rPr>
        <w:t>.</w:t>
      </w:r>
    </w:p>
    <w:sectPr w:rsidR="00347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0D"/>
    <w:rsid w:val="00312215"/>
    <w:rsid w:val="003131F7"/>
    <w:rsid w:val="00347C0D"/>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08D01E00"/>
  <w15:chartTrackingRefBased/>
  <w15:docId w15:val="{5C760D8C-69BF-7440-B80F-A0497EA4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2031</Words>
  <Characters>11583</Characters>
  <Application>Microsoft Office Word</Application>
  <DocSecurity>0</DocSecurity>
  <Lines>96</Lines>
  <Paragraphs>27</Paragraphs>
  <ScaleCrop>false</ScaleCrop>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Guterstam</dc:creator>
  <cp:keywords/>
  <dc:description/>
  <cp:lastModifiedBy>Arvid Guterstam</cp:lastModifiedBy>
  <cp:revision>3</cp:revision>
  <dcterms:created xsi:type="dcterms:W3CDTF">2021-01-06T01:42:00Z</dcterms:created>
  <dcterms:modified xsi:type="dcterms:W3CDTF">2021-01-06T01:56:00Z</dcterms:modified>
</cp:coreProperties>
</file>