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line="48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Table S2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: Intrinsic effective connectivity and task-specific self-connectivity modulation</w:t>
      </w:r>
    </w:p>
    <w:tbl>
      <w:tblPr>
        <w:tblStyle w:val="Table1"/>
        <w:tblW w:w="5865.0" w:type="dxa"/>
        <w:jc w:val="left"/>
        <w:tblInd w:w="0.0" w:type="dxa"/>
        <w:tblBorders>
          <w:bottom w:color="00000a" w:space="0" w:sz="8" w:val="single"/>
          <w:insideH w:color="00000a" w:space="0" w:sz="8" w:val="single"/>
        </w:tblBorders>
        <w:tblLayout w:type="fixed"/>
        <w:tblLook w:val="0400"/>
      </w:tblPr>
      <w:tblGrid>
        <w:gridCol w:w="1215"/>
        <w:gridCol w:w="375"/>
        <w:gridCol w:w="1230"/>
        <w:gridCol w:w="1365"/>
        <w:gridCol w:w="1680"/>
        <w:tblGridChange w:id="0">
          <w:tblGrid>
            <w:gridCol w:w="1215"/>
            <w:gridCol w:w="375"/>
            <w:gridCol w:w="1230"/>
            <w:gridCol w:w="1365"/>
            <w:gridCol w:w="1680"/>
          </w:tblGrid>
        </w:tblGridChange>
      </w:tblGrid>
      <w:t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Source subregion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3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Target subregion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Strength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95%-CI</w:t>
            </w:r>
          </w:p>
        </w:tc>
      </w:tr>
      <w:tr>
        <w:tc>
          <w:tcPr>
            <w:gridSpan w:val="5"/>
            <w:tcBorders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keepLines w:val="1"/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Intrinsic connectivity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-1.20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0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[-1.21; -1.20]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4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-0.37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[-0.38; -0.37]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7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-0.33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[-0.33; -0.33]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-0.56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[-0.56; -0.56]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3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-0.05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[-0.06; -0.05]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-0.79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9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[-0.81; -0.79]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[0.15; 0.16]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-0.29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[-0.29; -0.29]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[-0.27; -0.27]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0.38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D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[0.39; 0.39]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-1.13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[-1.14; -1.13]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0.87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7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[0.87; 0.88]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0.34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[0.34; 0.35]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[0.42; 0.43]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-0.30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6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[-0.30; -0.30]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keepLines w:val="1"/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-1.14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[-1.15; -1.14]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0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Source subregion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Target subregion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keepLines w:val="1"/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Modulation strength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keepLines w:val="1"/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p-value</w:t>
            </w:r>
          </w:p>
        </w:tc>
      </w:tr>
      <w:tr>
        <w:tc>
          <w:tcPr>
            <w:gridSpan w:val="5"/>
            <w:tcBorders>
              <w:top w:color="000000" w:space="0" w:sz="8" w:val="single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Self connectivity</w:t>
            </w:r>
          </w:p>
        </w:tc>
      </w:tr>
      <w:t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Semantics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-5.53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0.0006</w:t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L-post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-6.88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0.0010</w:t>
            </w:r>
          </w:p>
        </w:tc>
      </w:tr>
      <w:t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14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Social Cognition</w:t>
            </w:r>
          </w:p>
        </w:tc>
      </w:tr>
      <w:tr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color w:val="00000a"/>
                <w:sz w:val="20"/>
                <w:szCs w:val="20"/>
                <w:rtl w:val="0"/>
              </w:rPr>
              <w:t xml:space="preserve">→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140" w:line="24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R-ant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after="14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-4.01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140" w:line="24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0.0055</w:t>
            </w:r>
          </w:p>
        </w:tc>
      </w:tr>
    </w:tbl>
    <w:p w:rsidR="00000000" w:rsidDel="00000000" w:rsidP="00000000" w:rsidRDefault="00000000" w:rsidRPr="00000000" w14:paraId="00000084">
      <w:pPr>
        <w:spacing w:after="14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4"/>
          <w:szCs w:val="24"/>
          <w:rtl w:val="0"/>
        </w:rPr>
        <w:t xml:space="preserve">Note: Intrinsic connectivity parameters (‘A-matrix’) and significant modulatory parameters (‘B-matrix’,</w:t>
      </w:r>
      <w:r w:rsidDel="00000000" w:rsidR="00000000" w:rsidRPr="00000000">
        <w:rPr>
          <w:rFonts w:ascii="Cardo" w:cs="Cardo" w:eastAsia="Cardo" w:hAnsi="Cardo"/>
          <w:color w:val="00000a"/>
          <w:sz w:val="24"/>
          <w:szCs w:val="24"/>
          <w:rtl w:val="0"/>
        </w:rPr>
        <w:t xml:space="preserve"> α ≤ 0.01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24"/>
          <w:szCs w:val="24"/>
          <w:rtl w:val="0"/>
        </w:rPr>
        <w:t xml:space="preserve">) of self-connections. Strength is given as posterior expectation from the optimum Bayesian parameter average model. The 95% confidence intervals were built from the corresponding Bayesian parameter covariances and exceed zero for all parameters. P-values for self-connectivity are based on a random effects permutation test for the null hypothesis ‘no parameter difference between tasks’.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