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4934E5">
        <w:fldChar w:fldCharType="begin"/>
      </w:r>
      <w:r w:rsidR="004934E5">
        <w:instrText xml:space="preserve"> HYPERLINK "https://biosharing.org/" \t "_blank" </w:instrText>
      </w:r>
      <w:r w:rsidR="004934E5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4934E5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C416A81" w:rsidR="00877644" w:rsidRPr="00125190" w:rsidRDefault="00E9006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531BEE">
        <w:rPr>
          <w:rFonts w:asciiTheme="minorHAnsi" w:hAnsiTheme="minorHAnsi"/>
        </w:rPr>
        <w:t xml:space="preserve">tatistical methods were </w:t>
      </w:r>
      <w:r>
        <w:rPr>
          <w:rFonts w:asciiTheme="minorHAnsi" w:hAnsiTheme="minorHAnsi"/>
        </w:rPr>
        <w:t xml:space="preserve">not </w:t>
      </w:r>
      <w:r w:rsidR="00531BEE">
        <w:rPr>
          <w:rFonts w:asciiTheme="minorHAnsi" w:hAnsiTheme="minorHAnsi"/>
        </w:rPr>
        <w:t xml:space="preserve">used to predetermine sample size. </w:t>
      </w:r>
      <w:r w:rsidR="009B7F06">
        <w:rPr>
          <w:rFonts w:asciiTheme="minorHAnsi" w:hAnsiTheme="minorHAnsi"/>
        </w:rPr>
        <w:t>S</w:t>
      </w:r>
      <w:r w:rsidR="00531BEE">
        <w:rPr>
          <w:rFonts w:asciiTheme="minorHAnsi" w:hAnsiTheme="minorHAnsi"/>
        </w:rPr>
        <w:t xml:space="preserve">ample size was determined based on the variability across experiments.  For whole-cell recordings, each cell was treated as an independent sample.  Our sample sizes are similar to those reported in the field.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03989C1" w14:textId="36B4FCA4" w:rsidR="00FF5ED7" w:rsidRDefault="006A3C5D" w:rsidP="00531BE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</w:rPr>
      </w:pPr>
      <w:r w:rsidRPr="006A3C5D">
        <w:rPr>
          <w:rFonts w:asciiTheme="minorHAnsi" w:hAnsiTheme="minorHAnsi"/>
        </w:rPr>
        <w:t>Detailed information can be found in the methods section. No outliers were left out.</w:t>
      </w: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6EA0485" w:rsidR="0015519A" w:rsidRPr="00505C51" w:rsidRDefault="00531BE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analyses are described </w:t>
      </w:r>
      <w:r w:rsidR="00235E8C">
        <w:rPr>
          <w:rFonts w:asciiTheme="minorHAnsi" w:hAnsiTheme="minorHAnsi"/>
          <w:sz w:val="22"/>
          <w:szCs w:val="22"/>
        </w:rPr>
        <w:t>within</w:t>
      </w:r>
      <w:r>
        <w:rPr>
          <w:rFonts w:asciiTheme="minorHAnsi" w:hAnsiTheme="minorHAnsi"/>
          <w:sz w:val="22"/>
          <w:szCs w:val="22"/>
        </w:rPr>
        <w:t xml:space="preserve"> the results section and figure legends.  </w:t>
      </w:r>
      <w:r w:rsidR="00235E8C">
        <w:rPr>
          <w:rFonts w:asciiTheme="minorHAnsi" w:hAnsiTheme="minorHAnsi"/>
          <w:sz w:val="22"/>
          <w:szCs w:val="22"/>
        </w:rPr>
        <w:t>t-tests were used to compare two groups. Paired t-tests were used in experiments that measured a dependent variable before and after some perturbation.  ANOVAs</w:t>
      </w:r>
      <w:r w:rsidR="00634EA5">
        <w:rPr>
          <w:rFonts w:asciiTheme="minorHAnsi" w:hAnsiTheme="minorHAnsi"/>
          <w:sz w:val="22"/>
          <w:szCs w:val="22"/>
        </w:rPr>
        <w:t>, followed by Tukey’s multiple comparison tests</w:t>
      </w:r>
      <w:r w:rsidR="00235E8C">
        <w:rPr>
          <w:rFonts w:asciiTheme="minorHAnsi" w:hAnsiTheme="minorHAnsi"/>
          <w:sz w:val="22"/>
          <w:szCs w:val="22"/>
        </w:rPr>
        <w:t xml:space="preserve"> were used when comparing across more than two groups</w:t>
      </w:r>
      <w:r w:rsidR="00634EA5">
        <w:rPr>
          <w:rFonts w:asciiTheme="minorHAnsi" w:hAnsiTheme="minorHAnsi"/>
          <w:sz w:val="22"/>
          <w:szCs w:val="22"/>
        </w:rPr>
        <w:t xml:space="preserve"> and the data were adequately normally </w:t>
      </w:r>
      <w:r w:rsidR="00235E8C">
        <w:rPr>
          <w:rFonts w:asciiTheme="minorHAnsi" w:hAnsiTheme="minorHAnsi"/>
          <w:sz w:val="22"/>
          <w:szCs w:val="22"/>
        </w:rPr>
        <w:t>distributed and had equal variance</w:t>
      </w:r>
      <w:r w:rsidR="00634EA5">
        <w:rPr>
          <w:rFonts w:asciiTheme="minorHAnsi" w:hAnsiTheme="minorHAnsi"/>
          <w:sz w:val="22"/>
          <w:szCs w:val="22"/>
        </w:rPr>
        <w:t>.  When the data did not meet the criteria for parametric tests, non-par</w:t>
      </w:r>
      <w:r w:rsidR="00E9006E">
        <w:rPr>
          <w:rFonts w:asciiTheme="minorHAnsi" w:hAnsiTheme="minorHAnsi"/>
          <w:sz w:val="22"/>
          <w:szCs w:val="22"/>
        </w:rPr>
        <w:t>a</w:t>
      </w:r>
      <w:r w:rsidR="00634EA5">
        <w:rPr>
          <w:rFonts w:asciiTheme="minorHAnsi" w:hAnsiTheme="minorHAnsi"/>
          <w:sz w:val="22"/>
          <w:szCs w:val="22"/>
        </w:rPr>
        <w:t xml:space="preserve">metric tests were used. When comparing more than 2 groups, </w:t>
      </w:r>
      <w:r w:rsidR="00E9006E">
        <w:rPr>
          <w:rFonts w:asciiTheme="minorHAnsi" w:hAnsiTheme="minorHAnsi"/>
          <w:sz w:val="22"/>
          <w:szCs w:val="22"/>
        </w:rPr>
        <w:t>Friedman tests were used, followed by Dunn’s multiple comparison tests.  When two groups were compared that were not normally distributed, Mann-Whitney tests were used.</w:t>
      </w:r>
      <w:r w:rsidR="00634EA5">
        <w:rPr>
          <w:rFonts w:asciiTheme="minorHAnsi" w:hAnsiTheme="minorHAnsi"/>
          <w:sz w:val="22"/>
          <w:szCs w:val="22"/>
        </w:rPr>
        <w:t xml:space="preserve"> </w:t>
      </w:r>
      <w:r w:rsidR="00235E8C">
        <w:rPr>
          <w:rFonts w:asciiTheme="minorHAnsi" w:hAnsiTheme="minorHAnsi"/>
          <w:sz w:val="22"/>
          <w:szCs w:val="22"/>
        </w:rPr>
        <w:t xml:space="preserve">Scatter plots are used in all cases to show each data point in addition to the mean and </w:t>
      </w:r>
      <w:proofErr w:type="spellStart"/>
      <w:r w:rsidR="00235E8C">
        <w:rPr>
          <w:rFonts w:asciiTheme="minorHAnsi" w:hAnsiTheme="minorHAnsi"/>
          <w:sz w:val="22"/>
          <w:szCs w:val="22"/>
        </w:rPr>
        <w:t>sem</w:t>
      </w:r>
      <w:proofErr w:type="spellEnd"/>
      <w:r w:rsidR="00634EA5">
        <w:rPr>
          <w:rFonts w:asciiTheme="minorHAnsi" w:hAnsiTheme="minorHAnsi"/>
          <w:sz w:val="22"/>
          <w:szCs w:val="22"/>
        </w:rPr>
        <w:t xml:space="preserve"> or sd</w:t>
      </w:r>
      <w:r w:rsidR="00235E8C">
        <w:rPr>
          <w:rFonts w:asciiTheme="minorHAnsi" w:hAnsiTheme="minorHAnsi"/>
          <w:sz w:val="22"/>
          <w:szCs w:val="22"/>
        </w:rPr>
        <w:t>. Exact P values are reported</w:t>
      </w:r>
      <w:r w:rsidR="00634EA5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A45A76A" w:rsidR="00BC3CCE" w:rsidRPr="00505C51" w:rsidRDefault="00235E8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Experimental groups are defined </w:t>
      </w:r>
      <w:r w:rsidR="005C2EC6">
        <w:rPr>
          <w:rFonts w:asciiTheme="minorHAnsi" w:hAnsiTheme="minorHAnsi"/>
          <w:sz w:val="22"/>
          <w:szCs w:val="22"/>
        </w:rPr>
        <w:t>in the results and methods sections</w:t>
      </w:r>
      <w:r>
        <w:rPr>
          <w:rFonts w:asciiTheme="minorHAnsi" w:hAnsiTheme="minorHAnsi"/>
          <w:sz w:val="22"/>
          <w:szCs w:val="22"/>
        </w:rPr>
        <w:t>.  The experim</w:t>
      </w:r>
      <w:r w:rsidR="009B7F06">
        <w:rPr>
          <w:rFonts w:asciiTheme="minorHAnsi" w:hAnsiTheme="minorHAnsi"/>
          <w:sz w:val="22"/>
          <w:szCs w:val="22"/>
        </w:rPr>
        <w:t xml:space="preserve">enter was not blinded to the </w:t>
      </w:r>
      <w:r w:rsidR="00680546">
        <w:rPr>
          <w:rFonts w:asciiTheme="minorHAnsi" w:hAnsiTheme="minorHAnsi"/>
          <w:sz w:val="22"/>
          <w:szCs w:val="22"/>
        </w:rPr>
        <w:t>conditions</w:t>
      </w:r>
      <w:r w:rsidR="009B7F06">
        <w:rPr>
          <w:rFonts w:asciiTheme="minorHAnsi" w:hAnsiTheme="minorHAnsi"/>
          <w:sz w:val="22"/>
          <w:szCs w:val="22"/>
        </w:rPr>
        <w:t xml:space="preserve"> (e.g. </w:t>
      </w:r>
      <w:r w:rsidR="00680546">
        <w:rPr>
          <w:rFonts w:asciiTheme="minorHAnsi" w:hAnsiTheme="minorHAnsi"/>
          <w:sz w:val="22"/>
          <w:szCs w:val="22"/>
        </w:rPr>
        <w:t>drugs applied</w:t>
      </w:r>
      <w:r w:rsidR="009B7F06">
        <w:rPr>
          <w:rFonts w:asciiTheme="minorHAnsi" w:hAnsiTheme="minorHAnsi"/>
          <w:sz w:val="22"/>
          <w:szCs w:val="22"/>
        </w:rPr>
        <w:t>).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E885A42" w:rsidR="00BC3CCE" w:rsidRPr="00505C51" w:rsidRDefault="00235E8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data </w:t>
      </w:r>
      <w:r w:rsidR="009B7F06">
        <w:rPr>
          <w:rFonts w:asciiTheme="minorHAnsi" w:hAnsiTheme="minorHAnsi"/>
          <w:sz w:val="22"/>
          <w:szCs w:val="22"/>
        </w:rPr>
        <w:t xml:space="preserve">points </w:t>
      </w:r>
      <w:r>
        <w:rPr>
          <w:rFonts w:asciiTheme="minorHAnsi" w:hAnsiTheme="minorHAnsi"/>
          <w:sz w:val="22"/>
          <w:szCs w:val="22"/>
        </w:rPr>
        <w:t>ar</w:t>
      </w:r>
      <w:r w:rsidR="009B7F06">
        <w:rPr>
          <w:rFonts w:asciiTheme="minorHAnsi" w:hAnsiTheme="minorHAnsi"/>
          <w:sz w:val="22"/>
          <w:szCs w:val="22"/>
        </w:rPr>
        <w:t xml:space="preserve">e represented in scatter plots. </w:t>
      </w:r>
      <w:r w:rsidR="00BA4C97">
        <w:rPr>
          <w:rFonts w:asciiTheme="minorHAnsi" w:hAnsiTheme="minorHAnsi"/>
          <w:sz w:val="22"/>
          <w:szCs w:val="22"/>
        </w:rPr>
        <w:t xml:space="preserve"> </w:t>
      </w:r>
      <w:r w:rsidR="00FC401F">
        <w:rPr>
          <w:rFonts w:asciiTheme="minorHAnsi" w:hAnsiTheme="minorHAnsi"/>
          <w:sz w:val="22"/>
          <w:szCs w:val="22"/>
        </w:rPr>
        <w:t xml:space="preserve">A python script will be included that was written to produce the sinusoidal stimulation pattern used in Figure 7.  </w:t>
      </w:r>
      <w:r w:rsidR="00E9006E">
        <w:rPr>
          <w:rFonts w:asciiTheme="minorHAnsi" w:hAnsiTheme="minorHAnsi"/>
          <w:sz w:val="22"/>
          <w:szCs w:val="22"/>
        </w:rPr>
        <w:t xml:space="preserve">The AMPAR detailed kinetic model and the diffusion equation fitting tool will be made available in the NEURON database: </w:t>
      </w:r>
      <w:r w:rsidR="00E9006E" w:rsidRPr="00E9006E">
        <w:rPr>
          <w:rFonts w:asciiTheme="minorHAnsi" w:hAnsiTheme="minorHAnsi"/>
          <w:sz w:val="22"/>
          <w:szCs w:val="22"/>
        </w:rPr>
        <w:t>https://senselab.med.yale.edu/ModelDB/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BE645" w14:textId="77777777" w:rsidR="004934E5" w:rsidRDefault="004934E5" w:rsidP="004215FE">
      <w:r>
        <w:separator/>
      </w:r>
    </w:p>
  </w:endnote>
  <w:endnote w:type="continuationSeparator" w:id="0">
    <w:p w14:paraId="31C9F51A" w14:textId="77777777" w:rsidR="004934E5" w:rsidRDefault="004934E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5C2EC6">
      <w:rPr>
        <w:rStyle w:val="PageNumber"/>
        <w:rFonts w:asciiTheme="minorHAnsi" w:hAnsiTheme="minorHAnsi"/>
        <w:noProof/>
        <w:sz w:val="20"/>
        <w:szCs w:val="20"/>
      </w:rPr>
      <w:t>4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7BFAF" w14:textId="77777777" w:rsidR="004934E5" w:rsidRDefault="004934E5" w:rsidP="004215FE">
      <w:r>
        <w:separator/>
      </w:r>
    </w:p>
  </w:footnote>
  <w:footnote w:type="continuationSeparator" w:id="0">
    <w:p w14:paraId="53074CCE" w14:textId="77777777" w:rsidR="004934E5" w:rsidRDefault="004934E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09F4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35E8C"/>
    <w:rsid w:val="00241081"/>
    <w:rsid w:val="00266462"/>
    <w:rsid w:val="002A068D"/>
    <w:rsid w:val="002A0ED1"/>
    <w:rsid w:val="002A7487"/>
    <w:rsid w:val="00306ACD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34E5"/>
    <w:rsid w:val="004A5C32"/>
    <w:rsid w:val="004B41D4"/>
    <w:rsid w:val="004D5E59"/>
    <w:rsid w:val="004D602A"/>
    <w:rsid w:val="004D73CF"/>
    <w:rsid w:val="004E4945"/>
    <w:rsid w:val="004E6068"/>
    <w:rsid w:val="004F451D"/>
    <w:rsid w:val="00505C51"/>
    <w:rsid w:val="00516A01"/>
    <w:rsid w:val="0053000A"/>
    <w:rsid w:val="00531BEE"/>
    <w:rsid w:val="00550F13"/>
    <w:rsid w:val="005530AE"/>
    <w:rsid w:val="00555F44"/>
    <w:rsid w:val="00566103"/>
    <w:rsid w:val="005B0A15"/>
    <w:rsid w:val="005C2EC6"/>
    <w:rsid w:val="005E0567"/>
    <w:rsid w:val="00605A12"/>
    <w:rsid w:val="00634AC7"/>
    <w:rsid w:val="00634EA5"/>
    <w:rsid w:val="00657587"/>
    <w:rsid w:val="00661DCC"/>
    <w:rsid w:val="00672545"/>
    <w:rsid w:val="00680546"/>
    <w:rsid w:val="00685CCF"/>
    <w:rsid w:val="006A3C5D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B7F06"/>
    <w:rsid w:val="009D0D28"/>
    <w:rsid w:val="009E6ACE"/>
    <w:rsid w:val="009E7B13"/>
    <w:rsid w:val="00A11EC6"/>
    <w:rsid w:val="00A131BD"/>
    <w:rsid w:val="00A32E20"/>
    <w:rsid w:val="00A5368C"/>
    <w:rsid w:val="00A62B52"/>
    <w:rsid w:val="00A73FE1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C97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9006E"/>
    <w:rsid w:val="00ED346E"/>
    <w:rsid w:val="00EF7423"/>
    <w:rsid w:val="00F27DEC"/>
    <w:rsid w:val="00F3344F"/>
    <w:rsid w:val="00F60CF4"/>
    <w:rsid w:val="00FC1F40"/>
    <w:rsid w:val="00FC401F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896BBB4-4018-44DD-8F5F-732F7421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C9B0E0-1C98-447F-81C6-F5E5FD8B8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6116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Timothy Balmer</cp:lastModifiedBy>
  <cp:revision>6</cp:revision>
  <dcterms:created xsi:type="dcterms:W3CDTF">2020-10-02T22:08:00Z</dcterms:created>
  <dcterms:modified xsi:type="dcterms:W3CDTF">2020-10-14T18:12:00Z</dcterms:modified>
</cp:coreProperties>
</file>