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01E3F1B" w:rsidR="00877644" w:rsidRPr="00125190" w:rsidRDefault="003D7F6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explicit power analysis was used. Group sizes were estimated based on previous experience to give </w:t>
      </w:r>
      <w:proofErr w:type="gramStart"/>
      <w:r>
        <w:rPr>
          <w:rFonts w:asciiTheme="minorHAnsi" w:hAnsiTheme="minorHAnsi"/>
        </w:rPr>
        <w:t>sufficient</w:t>
      </w:r>
      <w:proofErr w:type="gramEnd"/>
      <w:r>
        <w:rPr>
          <w:rFonts w:asciiTheme="minorHAnsi" w:hAnsiTheme="minorHAnsi"/>
        </w:rPr>
        <w:t xml:space="preserve"> data to make significant conclusions.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7F1482F" w:rsidR="00B330BD" w:rsidRPr="00125190" w:rsidRDefault="003D7F6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Within each legend the number of times each study was performed is indicated. No data was excluded from presentation.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6BF90B5" w:rsidR="0015519A" w:rsidRPr="00505C51" w:rsidRDefault="003D7F6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 values, precision measures and statistical comparisons are indicated in figure legends. All statistical tests performed using Prism v8 (GraphPad).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F5D4BDF" w:rsidR="00BC3CCE" w:rsidRPr="00505C51" w:rsidRDefault="003D7F6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mice used in these studies were in-bred and assigned at random to study groups. This is described in materials and methods.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1B58A0B" w:rsidR="00BC3CCE" w:rsidRPr="00505C51" w:rsidRDefault="00DE038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Where possible, individual data points are presented. Complete summary of histological findings </w:t>
      </w:r>
      <w:proofErr w:type="gramStart"/>
      <w:r>
        <w:rPr>
          <w:rFonts w:asciiTheme="minorHAnsi" w:hAnsiTheme="minorHAnsi"/>
          <w:sz w:val="22"/>
          <w:szCs w:val="22"/>
        </w:rPr>
        <w:t>are</w:t>
      </w:r>
      <w:proofErr w:type="gramEnd"/>
      <w:r>
        <w:rPr>
          <w:rFonts w:asciiTheme="minorHAnsi" w:hAnsiTheme="minorHAnsi"/>
          <w:sz w:val="22"/>
          <w:szCs w:val="22"/>
        </w:rPr>
        <w:t xml:space="preserve"> provided in supplementary table 1 and complete blood chemistry profiles are provided in supplementary table 2. All other source data is available upon request. 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D7F6C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0383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170ABEE1-4F29-42B6-A808-5300EB45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71A10F-7AB8-4B3D-B60C-998E04F4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Hawman, David (NIH/NIAID) [E]</cp:lastModifiedBy>
  <cp:revision>2</cp:revision>
  <dcterms:created xsi:type="dcterms:W3CDTF">2020-11-04T23:37:00Z</dcterms:created>
  <dcterms:modified xsi:type="dcterms:W3CDTF">2020-11-04T23:37:00Z</dcterms:modified>
</cp:coreProperties>
</file>