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01E3F1B" w:rsidR="00877644" w:rsidRPr="00125190" w:rsidRDefault="003D7F6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Group sizes were estimated based on previous experience to give </w:t>
      </w:r>
      <w:proofErr w:type="gramStart"/>
      <w:r>
        <w:rPr>
          <w:rFonts w:asciiTheme="minorHAnsi" w:hAnsiTheme="minorHAnsi"/>
        </w:rPr>
        <w:t>sufficient</w:t>
      </w:r>
      <w:proofErr w:type="gramEnd"/>
      <w:r>
        <w:rPr>
          <w:rFonts w:asciiTheme="minorHAnsi" w:hAnsiTheme="minorHAnsi"/>
        </w:rPr>
        <w:t xml:space="preserve"> data to make significant conclusions.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F1482F" w:rsidR="00B330BD" w:rsidRPr="00125190" w:rsidRDefault="003D7F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Within each legend the number of times each study was performed is indicated. No data was excluded from presentation.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6BF90B5" w:rsidR="0015519A" w:rsidRPr="00505C51" w:rsidRDefault="003D7F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 values, precision measures and statistical comparisons are indicated in figure legends. All statistical tests performed using Prism v8 (GraphPad).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5D4BDF" w:rsidR="00BC3CCE" w:rsidRPr="00505C51" w:rsidRDefault="003D7F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mice used in these studies were in-bred and assigned at random to study groups. This is described in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B58A0B" w:rsidR="00BC3CCE" w:rsidRPr="00505C51" w:rsidRDefault="00DE03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Where possible, individual data points are presented. Complete summary of histological findings </w:t>
      </w:r>
      <w:proofErr w:type="gramStart"/>
      <w:r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provided in supplementary table 1 and complete blood chemistry profiles are provided in supplementary table 2. All other source data is available upon request.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7F6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038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70ABEE1-4F29-42B6-A808-5300EB45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1A10F-7AB8-4B3D-B60C-998E04F4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Hawman, David (NIH/NIAID) [E]</cp:lastModifiedBy>
  <cp:revision>2</cp:revision>
  <dcterms:created xsi:type="dcterms:W3CDTF">2020-11-04T23:37:00Z</dcterms:created>
  <dcterms:modified xsi:type="dcterms:W3CDTF">2020-11-04T23:37:00Z</dcterms:modified>
</cp:coreProperties>
</file>