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F1FD" w14:textId="77777777" w:rsidR="00E54C20" w:rsidRPr="001A278B" w:rsidRDefault="00E54C20" w:rsidP="00E54C2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Sleeping at the Switch</w:t>
      </w:r>
    </w:p>
    <w:p w14:paraId="54852D88" w14:textId="77777777" w:rsidR="00E54C20" w:rsidRPr="00F61DA3" w:rsidRDefault="00E54C20" w:rsidP="00E54C20">
      <w:pPr>
        <w:ind w:left="-280" w:right="-580"/>
        <w:jc w:val="center"/>
        <w:rPr>
          <w:lang w:val="en-CA"/>
        </w:rPr>
      </w:pPr>
      <w:r w:rsidRPr="00F61DA3">
        <w:rPr>
          <w:lang w:val="en-CA"/>
        </w:rPr>
        <w:t xml:space="preserve"> </w:t>
      </w:r>
    </w:p>
    <w:p w14:paraId="1430A435" w14:textId="77777777" w:rsidR="00E54C20" w:rsidRPr="00F61DA3" w:rsidRDefault="00E54C20" w:rsidP="00E54C20">
      <w:pPr>
        <w:spacing w:line="523" w:lineRule="auto"/>
        <w:ind w:left="-280" w:right="-580"/>
        <w:rPr>
          <w:lang w:val="en-CA"/>
        </w:rPr>
      </w:pPr>
      <w:r w:rsidRPr="00F61DA3">
        <w:rPr>
          <w:lang w:val="en-CA"/>
        </w:rPr>
        <w:t xml:space="preserve"> </w:t>
      </w:r>
    </w:p>
    <w:p w14:paraId="29184B04" w14:textId="77777777" w:rsidR="00E54C20" w:rsidRPr="00F61DA3" w:rsidRDefault="00E54C20" w:rsidP="00E54C20">
      <w:pPr>
        <w:spacing w:line="523" w:lineRule="auto"/>
        <w:ind w:left="-280" w:right="-580"/>
        <w:jc w:val="center"/>
        <w:rPr>
          <w:vertAlign w:val="superscript"/>
          <w:lang w:val="en-CA"/>
        </w:rPr>
      </w:pPr>
      <w:r w:rsidRPr="00F61DA3">
        <w:rPr>
          <w:lang w:val="en-CA"/>
        </w:rPr>
        <w:t>Maude Bouchard B.Sc.</w:t>
      </w:r>
      <w:r w:rsidRPr="00F61DA3">
        <w:rPr>
          <w:vertAlign w:val="superscript"/>
          <w:lang w:val="en-CA"/>
        </w:rPr>
        <w:t>1,2</w:t>
      </w:r>
      <w:r w:rsidRPr="00F61DA3">
        <w:rPr>
          <w:lang w:val="en-CA"/>
        </w:rPr>
        <w:t>, Jean-Marc Lina Ph.D.</w:t>
      </w:r>
      <w:r w:rsidRPr="00F61DA3">
        <w:rPr>
          <w:vertAlign w:val="superscript"/>
          <w:lang w:val="en-CA"/>
        </w:rPr>
        <w:t>1,3,4</w:t>
      </w:r>
      <w:r w:rsidRPr="00F61DA3">
        <w:rPr>
          <w:lang w:val="en-CA"/>
        </w:rPr>
        <w:t xml:space="preserve"> Pierre-Olivier Gaudreault Ph.D.</w:t>
      </w:r>
      <w:r w:rsidRPr="00F61DA3">
        <w:rPr>
          <w:vertAlign w:val="superscript"/>
          <w:lang w:val="en-CA"/>
        </w:rPr>
        <w:t>1</w:t>
      </w:r>
      <w:r w:rsidRPr="00F61DA3">
        <w:rPr>
          <w:lang w:val="en-CA"/>
        </w:rPr>
        <w:t xml:space="preserve">, Alexandre </w:t>
      </w:r>
      <w:proofErr w:type="spellStart"/>
      <w:r w:rsidRPr="00F61DA3">
        <w:rPr>
          <w:lang w:val="en-CA"/>
        </w:rPr>
        <w:t>Lafrenière</w:t>
      </w:r>
      <w:proofErr w:type="spellEnd"/>
      <w:r w:rsidRPr="00F61DA3">
        <w:rPr>
          <w:lang w:val="en-CA"/>
        </w:rPr>
        <w:t xml:space="preserve"> B.Sc.</w:t>
      </w:r>
      <w:r w:rsidRPr="00F61DA3">
        <w:rPr>
          <w:vertAlign w:val="superscript"/>
          <w:lang w:val="en-CA"/>
        </w:rPr>
        <w:t>1</w:t>
      </w:r>
      <w:r w:rsidRPr="00F61DA3">
        <w:rPr>
          <w:lang w:val="en-CA"/>
        </w:rPr>
        <w:t xml:space="preserve">, Jonathan </w:t>
      </w:r>
      <w:proofErr w:type="spellStart"/>
      <w:r w:rsidRPr="00F61DA3">
        <w:rPr>
          <w:lang w:val="en-CA"/>
        </w:rPr>
        <w:t>Dubé</w:t>
      </w:r>
      <w:proofErr w:type="spellEnd"/>
      <w:r w:rsidRPr="00F61DA3">
        <w:rPr>
          <w:lang w:val="en-CA"/>
        </w:rPr>
        <w:t xml:space="preserve"> M.Sc.</w:t>
      </w:r>
      <w:r w:rsidRPr="00F61DA3">
        <w:rPr>
          <w:vertAlign w:val="superscript"/>
          <w:lang w:val="en-CA"/>
        </w:rPr>
        <w:t>1,2</w:t>
      </w:r>
      <w:r w:rsidRPr="00F61DA3">
        <w:rPr>
          <w:lang w:val="en-CA"/>
        </w:rPr>
        <w:t>, Nadia Gosselin Ph.D.</w:t>
      </w:r>
      <w:r w:rsidRPr="00F61DA3">
        <w:rPr>
          <w:vertAlign w:val="superscript"/>
          <w:lang w:val="en-CA"/>
        </w:rPr>
        <w:t>1,2</w:t>
      </w:r>
      <w:r w:rsidRPr="00F61DA3">
        <w:rPr>
          <w:lang w:val="en-CA"/>
        </w:rPr>
        <w:t>,</w:t>
      </w:r>
      <w:r w:rsidRPr="00F61DA3">
        <w:rPr>
          <w:vertAlign w:val="superscript"/>
          <w:lang w:val="en-CA"/>
        </w:rPr>
        <w:t xml:space="preserve"> </w:t>
      </w:r>
      <w:r w:rsidRPr="00F61DA3">
        <w:rPr>
          <w:lang w:val="en-CA"/>
        </w:rPr>
        <w:t xml:space="preserve">&amp; Julie Carrier, Ph.D. </w:t>
      </w:r>
      <w:r w:rsidRPr="00F61DA3">
        <w:rPr>
          <w:vertAlign w:val="superscript"/>
          <w:lang w:val="en-CA"/>
        </w:rPr>
        <w:t>1,2</w:t>
      </w:r>
    </w:p>
    <w:p w14:paraId="2402900D" w14:textId="77777777" w:rsidR="00E54C20" w:rsidRPr="00F61DA3" w:rsidRDefault="00E54C20" w:rsidP="00E54C20">
      <w:pPr>
        <w:spacing w:line="523" w:lineRule="auto"/>
        <w:ind w:left="-280" w:right="-580"/>
        <w:jc w:val="center"/>
        <w:rPr>
          <w:lang w:val="en-CA"/>
        </w:rPr>
      </w:pPr>
      <w:r w:rsidRPr="00F61DA3">
        <w:rPr>
          <w:lang w:val="en-CA"/>
        </w:rPr>
        <w:t xml:space="preserve"> </w:t>
      </w:r>
    </w:p>
    <w:p w14:paraId="115D1406" w14:textId="77777777" w:rsidR="00E54C20" w:rsidRPr="00F61DA3" w:rsidRDefault="00E54C20" w:rsidP="00E54C20">
      <w:pPr>
        <w:spacing w:line="523" w:lineRule="auto"/>
        <w:ind w:left="-280" w:right="-580"/>
        <w:jc w:val="center"/>
        <w:rPr>
          <w:lang w:val="en-CA"/>
        </w:rPr>
      </w:pPr>
      <w:r w:rsidRPr="00F61DA3">
        <w:rPr>
          <w:lang w:val="en-CA"/>
        </w:rPr>
        <w:t xml:space="preserve"> </w:t>
      </w:r>
    </w:p>
    <w:p w14:paraId="3AD5E0BA" w14:textId="77777777" w:rsidR="00E54C20" w:rsidRPr="00847CE5" w:rsidRDefault="00E54C20" w:rsidP="00E54C20">
      <w:pPr>
        <w:spacing w:line="523" w:lineRule="auto"/>
        <w:ind w:left="-280" w:right="-580"/>
        <w:jc w:val="center"/>
        <w:rPr>
          <w:lang w:val="en-US"/>
        </w:rPr>
      </w:pPr>
      <w:r w:rsidRPr="00847CE5">
        <w:rPr>
          <w:vertAlign w:val="superscript"/>
          <w:lang w:val="en-US"/>
        </w:rPr>
        <w:t>1</w:t>
      </w:r>
      <w:r w:rsidRPr="00847CE5">
        <w:rPr>
          <w:lang w:val="en-US"/>
        </w:rPr>
        <w:t xml:space="preserve">Center for Advanced Research in Sleep Medicine, </w:t>
      </w:r>
      <w:proofErr w:type="spellStart"/>
      <w:r w:rsidRPr="00847CE5">
        <w:rPr>
          <w:lang w:val="en-US"/>
        </w:rPr>
        <w:t>Hôpital</w:t>
      </w:r>
      <w:proofErr w:type="spellEnd"/>
      <w:r w:rsidRPr="00847CE5">
        <w:rPr>
          <w:lang w:val="en-US"/>
        </w:rPr>
        <w:t xml:space="preserve"> du Sacré-Coeur de </w:t>
      </w:r>
      <w:r>
        <w:rPr>
          <w:lang w:val="en-US"/>
        </w:rPr>
        <w:t>Montréal</w:t>
      </w:r>
      <w:r w:rsidRPr="00847CE5">
        <w:rPr>
          <w:lang w:val="en-US"/>
        </w:rPr>
        <w:t>, Montreal, Canada;</w:t>
      </w:r>
    </w:p>
    <w:p w14:paraId="3A1B2267" w14:textId="77777777" w:rsidR="00E54C20" w:rsidRDefault="00E54C20" w:rsidP="00E54C20">
      <w:pPr>
        <w:spacing w:line="523" w:lineRule="auto"/>
        <w:ind w:left="-280" w:right="-580"/>
        <w:jc w:val="center"/>
      </w:pPr>
      <w:r>
        <w:rPr>
          <w:vertAlign w:val="superscript"/>
        </w:rPr>
        <w:t>2</w:t>
      </w:r>
      <w:r>
        <w:t xml:space="preserve">Department of Psychology, Université de Montréal, </w:t>
      </w:r>
      <w:proofErr w:type="spellStart"/>
      <w:r>
        <w:t>Montreal</w:t>
      </w:r>
      <w:proofErr w:type="spellEnd"/>
      <w:r>
        <w:t>, Canada</w:t>
      </w:r>
    </w:p>
    <w:p w14:paraId="3E03934C" w14:textId="77777777" w:rsidR="00E54C20" w:rsidRDefault="00E54C20" w:rsidP="00E54C20">
      <w:pPr>
        <w:spacing w:line="523" w:lineRule="auto"/>
        <w:ind w:left="-280" w:right="-580"/>
        <w:jc w:val="center"/>
      </w:pPr>
      <w:r>
        <w:rPr>
          <w:vertAlign w:val="superscript"/>
        </w:rPr>
        <w:t>3</w:t>
      </w:r>
      <w:r>
        <w:t xml:space="preserve">Department of </w:t>
      </w:r>
      <w:proofErr w:type="spellStart"/>
      <w:r>
        <w:t>Electrical</w:t>
      </w:r>
      <w:proofErr w:type="spellEnd"/>
      <w:r>
        <w:t xml:space="preserve"> Engineering, École de Technologie Supérieure, </w:t>
      </w:r>
      <w:proofErr w:type="spellStart"/>
      <w:r>
        <w:t>Montreal</w:t>
      </w:r>
      <w:proofErr w:type="spellEnd"/>
      <w:r>
        <w:t>, Canada</w:t>
      </w:r>
    </w:p>
    <w:p w14:paraId="4CB240B3" w14:textId="7B302E40" w:rsidR="00E54C20" w:rsidRDefault="00E54C20" w:rsidP="00E45CF9">
      <w:pPr>
        <w:spacing w:line="523" w:lineRule="auto"/>
        <w:ind w:left="-280" w:right="-580"/>
        <w:jc w:val="center"/>
      </w:pPr>
      <w:r>
        <w:rPr>
          <w:vertAlign w:val="superscript"/>
        </w:rPr>
        <w:t>4</w:t>
      </w:r>
      <w:r>
        <w:t xml:space="preserve">Centre de Recherches Mathématiques, Université de Montréal, </w:t>
      </w:r>
      <w:proofErr w:type="spellStart"/>
      <w:r>
        <w:t>Montreal</w:t>
      </w:r>
      <w:proofErr w:type="spellEnd"/>
      <w:r>
        <w:t>, Canada</w:t>
      </w:r>
    </w:p>
    <w:p w14:paraId="6D68F3FB" w14:textId="77777777" w:rsidR="00E54C20" w:rsidRDefault="00E54C20" w:rsidP="00E54C20">
      <w:pPr>
        <w:spacing w:line="523" w:lineRule="auto"/>
        <w:ind w:left="-280" w:right="-580"/>
      </w:pPr>
      <w:r>
        <w:t xml:space="preserve"> </w:t>
      </w:r>
    </w:p>
    <w:p w14:paraId="6E64E608" w14:textId="77777777" w:rsidR="00E54C20" w:rsidRDefault="00E54C20" w:rsidP="00E54C20">
      <w:pPr>
        <w:spacing w:line="523" w:lineRule="auto"/>
        <w:ind w:left="-280" w:right="-580"/>
      </w:pPr>
      <w:r>
        <w:t xml:space="preserve"> </w:t>
      </w:r>
    </w:p>
    <w:p w14:paraId="2FD9B8DE" w14:textId="77777777" w:rsidR="00E54C20" w:rsidRDefault="00E54C20" w:rsidP="00E54C20">
      <w:pPr>
        <w:ind w:left="-280" w:right="-580"/>
        <w:rPr>
          <w:b/>
        </w:rPr>
      </w:pPr>
    </w:p>
    <w:p w14:paraId="4E95EF25" w14:textId="77777777" w:rsidR="00E54C20" w:rsidRDefault="00E54C20" w:rsidP="00E54C20">
      <w:pPr>
        <w:ind w:left="-280" w:right="-580"/>
        <w:rPr>
          <w:b/>
        </w:rPr>
      </w:pPr>
    </w:p>
    <w:p w14:paraId="690437C1" w14:textId="77777777" w:rsidR="00E54C20" w:rsidRDefault="00E54C20" w:rsidP="00E54C20">
      <w:pPr>
        <w:ind w:left="-280" w:right="-580"/>
        <w:rPr>
          <w:b/>
        </w:rPr>
      </w:pPr>
      <w:r>
        <w:rPr>
          <w:b/>
        </w:rPr>
        <w:t xml:space="preserve"> </w:t>
      </w:r>
    </w:p>
    <w:p w14:paraId="61DBD4BB" w14:textId="77777777" w:rsidR="00E54C20" w:rsidRDefault="00E54C20" w:rsidP="00E54C20">
      <w:pPr>
        <w:ind w:left="-280" w:right="-580"/>
        <w:rPr>
          <w:b/>
        </w:rPr>
      </w:pPr>
      <w:r>
        <w:rPr>
          <w:b/>
        </w:rPr>
        <w:t xml:space="preserve"> </w:t>
      </w:r>
    </w:p>
    <w:p w14:paraId="497D002C" w14:textId="77777777" w:rsidR="00E54C20" w:rsidRDefault="00E54C20" w:rsidP="00E54C20">
      <w:pPr>
        <w:ind w:left="-280" w:right="-580"/>
        <w:rPr>
          <w:b/>
        </w:rPr>
      </w:pPr>
      <w:r>
        <w:rPr>
          <w:b/>
        </w:rPr>
        <w:t xml:space="preserve"> </w:t>
      </w:r>
    </w:p>
    <w:p w14:paraId="5B7C6396" w14:textId="77777777" w:rsidR="00E54C20" w:rsidRDefault="00E54C20" w:rsidP="00E54C20">
      <w:pPr>
        <w:spacing w:after="160"/>
        <w:ind w:left="-280" w:right="-580"/>
        <w:jc w:val="center"/>
        <w:rPr>
          <w:b/>
          <w:sz w:val="28"/>
          <w:szCs w:val="28"/>
          <w:lang w:val="en-US"/>
        </w:rPr>
      </w:pPr>
      <w:r w:rsidRPr="00847CE5">
        <w:rPr>
          <w:b/>
          <w:sz w:val="28"/>
          <w:szCs w:val="28"/>
          <w:lang w:val="en-US"/>
        </w:rPr>
        <w:t>SUPPLEMENTARY MATERIAL</w:t>
      </w:r>
    </w:p>
    <w:p w14:paraId="4E0555E5" w14:textId="77777777" w:rsidR="00E54C20" w:rsidRDefault="00E54C20" w:rsidP="00E54C20">
      <w:pPr>
        <w:spacing w:after="160"/>
        <w:ind w:left="-280" w:right="-580"/>
        <w:jc w:val="center"/>
        <w:rPr>
          <w:b/>
          <w:sz w:val="28"/>
          <w:szCs w:val="28"/>
          <w:lang w:val="en-US"/>
        </w:rPr>
      </w:pPr>
    </w:p>
    <w:p w14:paraId="3DBD1B51" w14:textId="77777777" w:rsidR="00E54C20" w:rsidRDefault="00E54C20" w:rsidP="00E54C20">
      <w:pPr>
        <w:spacing w:after="160"/>
        <w:ind w:left="-280" w:right="-580"/>
        <w:jc w:val="center"/>
        <w:rPr>
          <w:b/>
          <w:sz w:val="28"/>
          <w:szCs w:val="28"/>
          <w:lang w:val="en-US"/>
        </w:rPr>
      </w:pPr>
    </w:p>
    <w:p w14:paraId="6B69908F" w14:textId="46A4AA33" w:rsidR="00E54C20" w:rsidRDefault="00E54C20" w:rsidP="00E54C20">
      <w:pPr>
        <w:spacing w:after="160"/>
        <w:ind w:right="-580"/>
        <w:rPr>
          <w:b/>
          <w:sz w:val="28"/>
          <w:szCs w:val="28"/>
          <w:lang w:val="en-US"/>
        </w:rPr>
      </w:pPr>
    </w:p>
    <w:p w14:paraId="36224A68" w14:textId="353BEA07" w:rsidR="00E54C20" w:rsidRDefault="00E54C20" w:rsidP="00E54C20">
      <w:pPr>
        <w:spacing w:after="160"/>
        <w:ind w:right="-580"/>
        <w:rPr>
          <w:b/>
          <w:sz w:val="28"/>
          <w:szCs w:val="28"/>
          <w:lang w:val="en-US"/>
        </w:rPr>
      </w:pPr>
    </w:p>
    <w:p w14:paraId="568DE89B" w14:textId="026B3F5F" w:rsidR="00E54C20" w:rsidRDefault="00E54C20" w:rsidP="00E54C20">
      <w:pPr>
        <w:spacing w:after="160"/>
        <w:ind w:right="-580"/>
        <w:rPr>
          <w:b/>
          <w:sz w:val="28"/>
          <w:szCs w:val="28"/>
          <w:lang w:val="en-US"/>
        </w:rPr>
      </w:pPr>
    </w:p>
    <w:p w14:paraId="676AC533" w14:textId="061C1D62" w:rsidR="00E45CF9" w:rsidRDefault="00E45CF9" w:rsidP="00E54C20">
      <w:pPr>
        <w:spacing w:after="160"/>
        <w:ind w:right="-580"/>
        <w:rPr>
          <w:b/>
          <w:sz w:val="28"/>
          <w:szCs w:val="28"/>
          <w:lang w:val="en-US"/>
        </w:rPr>
      </w:pPr>
    </w:p>
    <w:p w14:paraId="7F9FF9A3" w14:textId="77777777" w:rsidR="00E45CF9" w:rsidRPr="00847CE5" w:rsidRDefault="00E45CF9" w:rsidP="00E54C20">
      <w:pPr>
        <w:spacing w:after="160"/>
        <w:ind w:right="-580"/>
        <w:rPr>
          <w:b/>
          <w:sz w:val="28"/>
          <w:szCs w:val="28"/>
          <w:lang w:val="en-US"/>
        </w:rPr>
      </w:pPr>
    </w:p>
    <w:p w14:paraId="1F3B0B6E" w14:textId="74090154" w:rsidR="00325D93" w:rsidRDefault="00325D93">
      <w:pPr>
        <w:rPr>
          <w:lang w:val="en-CA"/>
        </w:rPr>
      </w:pPr>
    </w:p>
    <w:p w14:paraId="1884DB5E" w14:textId="71B7108A" w:rsidR="00991FEE" w:rsidRDefault="00991FEE">
      <w:pPr>
        <w:rPr>
          <w:lang w:val="en-CA"/>
        </w:rPr>
      </w:pPr>
    </w:p>
    <w:p w14:paraId="52D59C18" w14:textId="1EAE0274" w:rsidR="00991FEE" w:rsidRPr="005664C3" w:rsidRDefault="00991FEE" w:rsidP="00991FEE">
      <w:pPr>
        <w:ind w:left="-280" w:right="-580"/>
        <w:jc w:val="both"/>
        <w:rPr>
          <w:b/>
          <w:i/>
          <w:lang w:val="en-CA"/>
        </w:rPr>
      </w:pPr>
      <w:r w:rsidRPr="005664C3">
        <w:rPr>
          <w:b/>
          <w:i/>
          <w:lang w:val="en-CA"/>
        </w:rPr>
        <w:lastRenderedPageBreak/>
        <w:t>Supplementary Table 1 Demographic and polysomnographic variables for young and older subjects</w:t>
      </w:r>
    </w:p>
    <w:p w14:paraId="67D23842" w14:textId="77777777" w:rsidR="00991FEE" w:rsidRPr="005664C3" w:rsidRDefault="00991FEE" w:rsidP="00991FEE">
      <w:pPr>
        <w:ind w:left="-280" w:right="-580"/>
        <w:jc w:val="both"/>
        <w:rPr>
          <w:b/>
          <w:i/>
          <w:lang w:val="en-CA"/>
        </w:rPr>
      </w:pPr>
    </w:p>
    <w:tbl>
      <w:tblPr>
        <w:tblW w:w="9923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1286"/>
        <w:gridCol w:w="1362"/>
        <w:gridCol w:w="848"/>
        <w:gridCol w:w="964"/>
        <w:gridCol w:w="1252"/>
        <w:gridCol w:w="1418"/>
      </w:tblGrid>
      <w:tr w:rsidR="00991FEE" w:rsidRPr="005664C3" w14:paraId="4544A930" w14:textId="77777777" w:rsidTr="008F49C8">
        <w:trPr>
          <w:trHeight w:val="20"/>
        </w:trPr>
        <w:tc>
          <w:tcPr>
            <w:tcW w:w="279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1944" w14:textId="77777777" w:rsidR="00991FEE" w:rsidRPr="005664C3" w:rsidRDefault="00991FEE" w:rsidP="008F49C8">
            <w:pPr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FEA6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>Young (YO)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1F1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>Older (OL)</w:t>
            </w:r>
          </w:p>
        </w:tc>
        <w:tc>
          <w:tcPr>
            <w:tcW w:w="306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5A02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>Main effect (p values)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E84D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>Effect</w:t>
            </w:r>
          </w:p>
        </w:tc>
      </w:tr>
      <w:tr w:rsidR="00991FEE" w:rsidRPr="005664C3" w14:paraId="169B6D34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80C2" w14:textId="77777777" w:rsidR="00991FEE" w:rsidRPr="005664C3" w:rsidRDefault="00991FEE" w:rsidP="008F49C8">
            <w:pPr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8904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>N = 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1FB7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>N = 29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9156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>Age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729F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>Sex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2A8E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>Interaction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7FE6" w14:textId="77777777" w:rsidR="00991FEE" w:rsidRPr="005664C3" w:rsidRDefault="00991FEE" w:rsidP="008F49C8">
            <w:pPr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</w:p>
        </w:tc>
      </w:tr>
      <w:tr w:rsidR="00991FEE" w:rsidRPr="005664C3" w14:paraId="5F4B035A" w14:textId="77777777" w:rsidTr="008F49C8">
        <w:trPr>
          <w:trHeight w:val="32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B924C7" w14:textId="77777777" w:rsidR="00991FEE" w:rsidRPr="005664C3" w:rsidRDefault="00991FEE" w:rsidP="008F49C8">
            <w:pPr>
              <w:spacing w:line="276" w:lineRule="auto"/>
              <w:ind w:left="20"/>
              <w:rPr>
                <w:b/>
                <w:i/>
                <w:sz w:val="20"/>
                <w:szCs w:val="20"/>
                <w:u w:val="single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u w:val="single"/>
                <w:lang w:val="en-CA"/>
              </w:rPr>
              <w:t>Demographic Variables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CBAC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561C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34BB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CB7E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6747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0C12" w14:textId="77777777" w:rsidR="00991FEE" w:rsidRPr="005664C3" w:rsidRDefault="00991FEE" w:rsidP="008F49C8">
            <w:pPr>
              <w:jc w:val="center"/>
              <w:rPr>
                <w:b/>
                <w:i/>
                <w:sz w:val="20"/>
                <w:szCs w:val="20"/>
                <w:lang w:val="en-CA"/>
              </w:rPr>
            </w:pPr>
            <w:r w:rsidRPr="005664C3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</w:p>
        </w:tc>
      </w:tr>
      <w:tr w:rsidR="00991FEE" w:rsidRPr="005664C3" w14:paraId="5EE6F8AA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745A" w14:textId="77777777" w:rsidR="00991FEE" w:rsidRPr="005664C3" w:rsidRDefault="00991FEE" w:rsidP="008F49C8">
            <w:pPr>
              <w:ind w:firstLine="220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Sex (M/W)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86AC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16/14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567D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11/18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E9BB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N/A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6932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N/A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A131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C2B8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--</w:t>
            </w:r>
          </w:p>
        </w:tc>
      </w:tr>
      <w:tr w:rsidR="00991FEE" w:rsidRPr="005664C3" w14:paraId="75E95CA0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7A48" w14:textId="77777777" w:rsidR="00991FEE" w:rsidRPr="005664C3" w:rsidRDefault="00991FEE" w:rsidP="008F49C8">
            <w:pPr>
              <w:ind w:firstLine="220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Education (year)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04E8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15.4 ± 2.2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0F92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15.4 ± 3.4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4554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99EE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2751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F89D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--</w:t>
            </w:r>
          </w:p>
        </w:tc>
      </w:tr>
      <w:tr w:rsidR="00991FEE" w:rsidRPr="005664C3" w14:paraId="20B4D2AE" w14:textId="77777777" w:rsidTr="008F49C8">
        <w:trPr>
          <w:trHeight w:val="20"/>
        </w:trPr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934BCE" w14:textId="77777777" w:rsidR="00991FEE" w:rsidRPr="005664C3" w:rsidRDefault="00991FEE" w:rsidP="008F49C8">
            <w:pPr>
              <w:spacing w:line="276" w:lineRule="auto"/>
              <w:rPr>
                <w:sz w:val="20"/>
                <w:szCs w:val="20"/>
                <w:u w:val="single"/>
                <w:lang w:val="en-CA"/>
              </w:rPr>
            </w:pPr>
            <w:r w:rsidRPr="005664C3">
              <w:rPr>
                <w:sz w:val="20"/>
                <w:szCs w:val="20"/>
                <w:u w:val="single"/>
                <w:lang w:val="en-CA"/>
              </w:rPr>
              <w:t>Polysomnographic Variables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E40B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5B67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5D5B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24DA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B342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991FEE" w:rsidRPr="005664C3" w14:paraId="4ADC5E81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1FAC" w14:textId="77777777" w:rsidR="00991FEE" w:rsidRPr="005664C3" w:rsidRDefault="00991FEE" w:rsidP="008F49C8">
            <w:pPr>
              <w:ind w:firstLine="220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Sleep latency (min)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E7BF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8.2 ± 5.9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5132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9.0 ± 7.3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B797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0030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ED4D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A831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--</w:t>
            </w:r>
          </w:p>
        </w:tc>
      </w:tr>
      <w:tr w:rsidR="00991FEE" w:rsidRPr="005664C3" w14:paraId="4BD4E378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5AB3" w14:textId="77777777" w:rsidR="00991FEE" w:rsidRPr="005664C3" w:rsidRDefault="00991FEE" w:rsidP="008F49C8">
            <w:pPr>
              <w:ind w:firstLine="220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REM latency (min)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44B7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97.7 ± 49.4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0975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78.6 ± 29.2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AA58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A777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7499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D6D1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991FEE" w:rsidRPr="005664C3" w14:paraId="4BDBDE16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60BD" w14:textId="77777777" w:rsidR="00991FEE" w:rsidRPr="005664C3" w:rsidRDefault="00991FEE" w:rsidP="008F49C8">
            <w:pPr>
              <w:ind w:firstLine="220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Sleep duration (min)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0CF3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451.3 ± 36.0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9B65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408.9 ± 36.4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58B9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>&lt; 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5B64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EF48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8E4C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>YO &gt; OL</w:t>
            </w:r>
          </w:p>
        </w:tc>
      </w:tr>
      <w:tr w:rsidR="00991FEE" w:rsidRPr="005664C3" w14:paraId="11363F31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E216" w14:textId="77777777" w:rsidR="00991FEE" w:rsidRPr="005664C3" w:rsidRDefault="00991FEE" w:rsidP="008F49C8">
            <w:pPr>
              <w:ind w:firstLine="220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Sleep efficiency (%)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35A4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93.1 ± 5.6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B1A4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85.6 ± 6.8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AAFC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>&lt; 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4730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B468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EDEC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>YO &gt; OL</w:t>
            </w:r>
          </w:p>
        </w:tc>
      </w:tr>
      <w:tr w:rsidR="00991FEE" w:rsidRPr="005664C3" w14:paraId="5466880E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0713" w14:textId="77777777" w:rsidR="00991FEE" w:rsidRPr="005664C3" w:rsidRDefault="00991FEE" w:rsidP="008F49C8">
            <w:pPr>
              <w:ind w:firstLine="220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Stage NREM (%)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60A8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79.4 ± 5.0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F76D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81.3 ± 4.8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0E1B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DEE0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12A3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DA32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--</w:t>
            </w:r>
          </w:p>
        </w:tc>
      </w:tr>
      <w:tr w:rsidR="00991FEE" w:rsidRPr="005664C3" w14:paraId="5D919CFA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5D65" w14:textId="77777777" w:rsidR="00991FEE" w:rsidRPr="005664C3" w:rsidRDefault="00991FEE" w:rsidP="008F49C8">
            <w:pPr>
              <w:ind w:firstLine="220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Stage REM (%)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E381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20.6 ± 5.0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906D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18.7 ± 4.8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60CA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1240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1E9B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F5CC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--</w:t>
            </w:r>
          </w:p>
        </w:tc>
      </w:tr>
      <w:tr w:rsidR="00991FEE" w:rsidRPr="005664C3" w14:paraId="03291C46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050D" w14:textId="77777777" w:rsidR="00991FEE" w:rsidRPr="005664C3" w:rsidRDefault="00991FEE" w:rsidP="008F49C8">
            <w:pPr>
              <w:ind w:left="182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NREM stage N1 (%)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A295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7.6 ± 4.2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0652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10.6 ± 4.5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499B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N/A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CCFF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N/A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3F0E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>&lt; 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F5EB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>(M) YO &lt; OL</w:t>
            </w:r>
          </w:p>
          <w:p w14:paraId="36CA1F8C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 xml:space="preserve">(W) </w:t>
            </w:r>
            <w:proofErr w:type="spellStart"/>
            <w:r w:rsidRPr="005664C3">
              <w:rPr>
                <w:b/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b/>
                <w:sz w:val="20"/>
                <w:szCs w:val="20"/>
                <w:lang w:val="en-CA"/>
              </w:rPr>
              <w:t>.</w:t>
            </w:r>
          </w:p>
        </w:tc>
      </w:tr>
      <w:tr w:rsidR="00991FEE" w:rsidRPr="005664C3" w14:paraId="7E6E85B9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57CF" w14:textId="77777777" w:rsidR="00991FEE" w:rsidRPr="005664C3" w:rsidRDefault="00991FEE" w:rsidP="008F49C8">
            <w:pPr>
              <w:ind w:firstLine="220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NREM stage N2 (%)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8AC1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53.0 ± 6.1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BD78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60.0 ± 7.6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76A3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>&lt; 0.001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4773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C08D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966C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>YO &lt; OL</w:t>
            </w:r>
          </w:p>
        </w:tc>
      </w:tr>
      <w:tr w:rsidR="00991FEE" w:rsidRPr="005664C3" w14:paraId="56FDD06B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F7E6" w14:textId="77777777" w:rsidR="00991FEE" w:rsidRPr="005664C3" w:rsidRDefault="00991FEE" w:rsidP="008F49C8">
            <w:pPr>
              <w:ind w:firstLine="220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NREM stage N3 (%)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2FC3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18.8 ± 5.9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1366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10.7 ± 7.4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F571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N/A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AB2C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N/A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7685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>&lt; 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CDB8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>(M) YO &gt; OL</w:t>
            </w:r>
          </w:p>
          <w:p w14:paraId="07FED9FF" w14:textId="77777777" w:rsidR="00991FEE" w:rsidRPr="005664C3" w:rsidRDefault="00991FEE" w:rsidP="008F49C8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5664C3">
              <w:rPr>
                <w:b/>
                <w:sz w:val="20"/>
                <w:szCs w:val="20"/>
                <w:lang w:val="en-CA"/>
              </w:rPr>
              <w:t xml:space="preserve">(W) </w:t>
            </w:r>
            <w:proofErr w:type="spellStart"/>
            <w:r w:rsidRPr="005664C3">
              <w:rPr>
                <w:b/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b/>
                <w:sz w:val="20"/>
                <w:szCs w:val="20"/>
                <w:lang w:val="en-CA"/>
              </w:rPr>
              <w:t>.</w:t>
            </w:r>
          </w:p>
        </w:tc>
      </w:tr>
      <w:tr w:rsidR="00991FEE" w:rsidRPr="005664C3" w14:paraId="2CC8C8F6" w14:textId="77777777" w:rsidTr="008F49C8">
        <w:trPr>
          <w:trHeight w:val="20"/>
        </w:trPr>
        <w:tc>
          <w:tcPr>
            <w:tcW w:w="27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8F55" w14:textId="77777777" w:rsidR="00991FEE" w:rsidRPr="005664C3" w:rsidRDefault="00991FEE" w:rsidP="008F49C8">
            <w:pPr>
              <w:ind w:firstLine="220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Min. of wake (C1)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9064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5.0 ± 17.9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FE02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4.8 ± 6.5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569C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proofErr w:type="spellStart"/>
            <w:r w:rsidRPr="005664C3">
              <w:rPr>
                <w:sz w:val="20"/>
                <w:szCs w:val="20"/>
                <w:lang w:val="en-CA"/>
              </w:rPr>
              <w:t>n.s</w:t>
            </w:r>
            <w:proofErr w:type="spellEnd"/>
            <w:r w:rsidRPr="005664C3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8E3D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N/A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A5C2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D706" w14:textId="77777777" w:rsidR="00991FEE" w:rsidRPr="005664C3" w:rsidRDefault="00991FEE" w:rsidP="008F49C8">
            <w:pPr>
              <w:jc w:val="center"/>
              <w:rPr>
                <w:sz w:val="20"/>
                <w:szCs w:val="20"/>
                <w:lang w:val="en-CA"/>
              </w:rPr>
            </w:pPr>
            <w:r w:rsidRPr="005664C3">
              <w:rPr>
                <w:sz w:val="20"/>
                <w:szCs w:val="20"/>
                <w:lang w:val="en-CA"/>
              </w:rPr>
              <w:t>--</w:t>
            </w:r>
          </w:p>
        </w:tc>
      </w:tr>
    </w:tbl>
    <w:p w14:paraId="2DD25FA8" w14:textId="77777777" w:rsidR="00991FEE" w:rsidRPr="005664C3" w:rsidRDefault="00991FEE" w:rsidP="00991FEE">
      <w:pPr>
        <w:ind w:right="-432"/>
        <w:rPr>
          <w:i/>
          <w:sz w:val="20"/>
          <w:szCs w:val="20"/>
          <w:lang w:val="en-CA"/>
        </w:rPr>
      </w:pPr>
      <w:r w:rsidRPr="005664C3">
        <w:rPr>
          <w:i/>
          <w:sz w:val="20"/>
          <w:szCs w:val="20"/>
          <w:lang w:val="en-CA"/>
        </w:rPr>
        <w:t>Notes: Data expressed as mean ± SD. P values were considered significant at p &lt; 0.05.</w:t>
      </w:r>
      <w:r w:rsidRPr="005664C3">
        <w:rPr>
          <w:i/>
          <w:sz w:val="20"/>
          <w:szCs w:val="20"/>
          <w:vertAlign w:val="superscript"/>
          <w:lang w:val="en-CA"/>
        </w:rPr>
        <w:t xml:space="preserve"> </w:t>
      </w:r>
      <w:r w:rsidRPr="005664C3">
        <w:rPr>
          <w:i/>
          <w:sz w:val="20"/>
          <w:szCs w:val="20"/>
          <w:lang w:val="en-CA"/>
        </w:rPr>
        <w:t xml:space="preserve">M, men; </w:t>
      </w:r>
      <w:proofErr w:type="spellStart"/>
      <w:r w:rsidRPr="005664C3">
        <w:rPr>
          <w:i/>
          <w:sz w:val="20"/>
          <w:szCs w:val="20"/>
          <w:lang w:val="en-CA"/>
        </w:rPr>
        <w:t>ms</w:t>
      </w:r>
      <w:proofErr w:type="spellEnd"/>
      <w:r w:rsidRPr="005664C3">
        <w:rPr>
          <w:i/>
          <w:sz w:val="20"/>
          <w:szCs w:val="20"/>
          <w:lang w:val="en-CA"/>
        </w:rPr>
        <w:t>, millisecond; N/A, non-applicable; NREM, Non-rapid eye movement sleep; C1, Cycle 1</w:t>
      </w:r>
      <w:r w:rsidRPr="005664C3">
        <w:rPr>
          <w:bCs/>
          <w:i/>
          <w:sz w:val="20"/>
          <w:szCs w:val="20"/>
          <w:lang w:val="en-CA"/>
        </w:rPr>
        <w:t xml:space="preserve">; </w:t>
      </w:r>
      <w:proofErr w:type="spellStart"/>
      <w:r w:rsidRPr="005664C3">
        <w:rPr>
          <w:bCs/>
          <w:i/>
          <w:sz w:val="20"/>
          <w:szCs w:val="20"/>
          <w:lang w:val="en-CA"/>
        </w:rPr>
        <w:t>n.s</w:t>
      </w:r>
      <w:proofErr w:type="spellEnd"/>
      <w:r w:rsidRPr="005664C3">
        <w:rPr>
          <w:bCs/>
          <w:i/>
          <w:sz w:val="20"/>
          <w:szCs w:val="20"/>
          <w:lang w:val="en-CA"/>
        </w:rPr>
        <w:t>., non-significant</w:t>
      </w:r>
      <w:r w:rsidRPr="005664C3">
        <w:rPr>
          <w:i/>
          <w:sz w:val="20"/>
          <w:szCs w:val="20"/>
          <w:lang w:val="en-CA"/>
        </w:rPr>
        <w:t>; OL, older subjects; REM, Rapid eye movement sleep; W, women; YO, young subjects</w:t>
      </w:r>
    </w:p>
    <w:p w14:paraId="17026B28" w14:textId="77777777" w:rsidR="00991FEE" w:rsidRDefault="00991FEE">
      <w:pPr>
        <w:rPr>
          <w:lang w:val="en-CA"/>
        </w:rPr>
      </w:pPr>
    </w:p>
    <w:p w14:paraId="2D10119F" w14:textId="77777777" w:rsidR="00991FEE" w:rsidRPr="00E54C20" w:rsidRDefault="00991FEE">
      <w:pPr>
        <w:rPr>
          <w:lang w:val="en-CA"/>
        </w:rPr>
      </w:pPr>
    </w:p>
    <w:sectPr w:rsidR="00991FEE" w:rsidRPr="00E54C20" w:rsidSect="00E54C20"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20"/>
    <w:rsid w:val="00234E49"/>
    <w:rsid w:val="00325D93"/>
    <w:rsid w:val="006F5199"/>
    <w:rsid w:val="00991FEE"/>
    <w:rsid w:val="00E45CF9"/>
    <w:rsid w:val="00E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3492D"/>
  <w15:chartTrackingRefBased/>
  <w15:docId w15:val="{E4CF540D-DFEC-A147-81B0-EC91561C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20"/>
    <w:rPr>
      <w:rFonts w:ascii="Times New Roman" w:eastAsia="Times New Roman" w:hAnsi="Times New Roman" w:cs="Times New Roman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Pierre-Olivier Gaudreault</dc:creator>
  <cp:keywords/>
  <dc:description/>
  <cp:lastModifiedBy>Pierre-Olivier Gaudreault</cp:lastModifiedBy>
  <cp:revision>4</cp:revision>
  <dcterms:created xsi:type="dcterms:W3CDTF">2021-07-19T15:21:00Z</dcterms:created>
  <dcterms:modified xsi:type="dcterms:W3CDTF">2021-08-24T19:08:00Z</dcterms:modified>
</cp:coreProperties>
</file>